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D-10068/2025 vom 21. Januar 2026</w:t>
      </w:r>
    </w:p>
    <w:p>
      <w:r>
        <w:t>Bundesverwaltungsgericht, 2026-01-21, DE</w:t>
      </w:r>
    </w:p>
    <w:p>
      <w:r>
        <w:rPr>
          <w:b/>
        </w:rPr>
        <w:t xml:space="preserve">Quelle: </w:t>
      </w:r>
      <w:r>
        <w:t>https://mcp.opencaselaw.ch/entscheid/bvger_D-10068_2025</w:t>
      </w:r>
    </w:p>
    <w:p>
      <w:r>
        <w:t>FR: TAF D-10068/2025 du 21 janvier 2026</w:t>
      </w:r>
    </w:p>
    <w:p>
      <w:r>
        <w:t>IT: TAF D-10068/2025 del 21 gennaio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 führung legitimiert (Art. 48 VwVG). Auf die frist- und formgerecht einge- 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oder einer</w:t>
      </w:r>
    </w:p>
    <w:p>
      <w:r>
        <w:t>D-10068/2025 Seite 4 zweiten Richterin entschieden (Art. 111 Bst. e AsylG). Wie nachstehend aufgezeigt, handelt es sich um eine solche, weshalb das Urteil nur summa- risch zu begründen ist (Art. 111a Abs. 2 AsylG).</w:t>
      </w:r>
    </w:p>
    <w:p>
      <w:r>
        <w:rPr>
          <w:b/>
        </w:rPr>
        <w:t>E. 3.2</w:t>
      </w:r>
    </w:p>
    <w:p>
      <w:r>
        <w:t>Gestützt auf Art. 111a Abs. 1 AsylG wurde auf die Durchführung eines Schriftenwechsels verzichtet.</w:t>
      </w:r>
    </w:p>
    <w:p>
      <w:r>
        <w:rPr>
          <w:b/>
        </w:rPr>
        <w:t>E. 4.1</w:t>
      </w:r>
    </w:p>
    <w:p>
      <w:r>
        <w:t>Die Beschwerdeführenden rügen in formeller Hinsicht, die Vorinstanz habe das rechtliche Gehör verletzt, indem sie den Sachverhalt unzu- reichend abgeklärt habe. Diese formelle Rüge ist vorab zu prüfen, da ihre Begründetheit die Kassation der vorinstanzlichen Verfügung bewirken könnte.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Die Rüge erweist sich als unbegründet. Die Vorinstanz hat den rechtserheblichen Sachverhalt rechtsgenüglich festgestellt und ihren Ent- scheid in tatsächlicher und rechtlicher Hinsicht nachvollziehbar begründet sowie im Einzelnen hinreichend differenziert dargelegt, von welchen Über- legungen sie sich leiten liess (vgl. angefochtene Verfügung S. 5 ff.). Die Beschwerdeführenden legen keine konkreten Anhaltspunkte dar, welche Zweifel an der vorinstanzlichen Sachverhaltsfeststellung zu begründen vermöchten. Ihre Ausführungen erschöpfen sich vielmehr in pauschalen sowie unbelegten Behauptungen und es ist auch aus den in der Be- schwerde zitierten Medienberichten sowie den Beschwerdebeilagen nicht ersichtlich, inwiefern diesen im vorliegenden Verfahren entscheidrelevante Bedeutung zukommen soll (vgl. Beschwerde S. 11 ff.). Ihre Einwände sind nicht geeignet, eine flüchtlingsrechtlich relevante Gefährdung zu belegen. Der Umstand, dass die Beschwerdeführenden die Schlussfolgerungen der Vorinstanz nicht teilen, beschlägt im Übrigen nicht formell-rechtliche An- sprüche, sondern die materiell-rechtliche Würdigung des Sachverhalts. Es liegt somit weder eine unvollständige oder unrichtige Feststellung des</w:t>
      </w:r>
    </w:p>
    <w:p>
      <w:r>
        <w:t>D-10068/2025 Seite 5 rechtserheblichen Sachverhalts vor noch ist eine Verletzung anderer Ver- fahrensrechte erkennbar.</w:t>
      </w:r>
    </w:p>
    <w:p>
      <w:r>
        <w:rPr>
          <w:b/>
        </w:rPr>
        <w:t>E. 4.3</w:t>
      </w:r>
    </w:p>
    <w:p>
      <w:r>
        <w:t>Folglich rechtfertigt sich eine Rückweisung der Sache an die Vorinstanz zur Neubeurteilung nicht. Das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5.4.1</w:t>
      </w:r>
    </w:p>
    <w:p>
      <w:r>
        <w:t>Nach eingehender Prüfung der Akten ist festzustellen, dass die Vor- bringen der Beschwerdeführenden die Voraussetzungen der Flüchtlingsei- genschaft gemäss Art. 3 AsylG nicht erfüllen. In tatsächlicher und rechtli- cher Hinsicht ist den Erwägungen der Vorinstanz zu folgen; auf diese kann verwiesen werden (vgl. angefochtene Verfügung S. 5 ff.). Die vorinstanzli- che Schlussfolgerung ist nicht zu beanstanden. Die Beschwerdevorbringen</w:t>
      </w:r>
    </w:p>
    <w:p>
      <w:r>
        <w:t>D-10068/2025 Seite 6 sind nicht geeignet, zu einer von der Vorinstanz abweichenden Betrach- tungsweise zu gelangen.</w:t>
      </w:r>
    </w:p>
    <w:p>
      <w:r>
        <w:rPr>
          <w:b/>
        </w:rPr>
        <w:t>E. 5.4.2</w:t>
      </w:r>
    </w:p>
    <w:p>
      <w:r>
        <w:t>Was die generell behaupteten erlittenen Nachteile oder Diskriminie- rungen aufgrund der ethnischen Zugehörigkeit der Beschwerdeführenden anbelangt, hat die Vorinstanz zutreffend festgestellt, dass es sich bei die- sen nicht um ernsthafte Nachteile im Sinne des Asylgesetzes handelt, die einen Verbleib im Heimatland verunmöglicht oder unzumutbar erschwert hätten. Die Beschwerdeführenden konnten trotz dieser behaupteten Nach- teile in der Türkei leben, eine Ausbildung absolvieren und verschiedenen Arbeitstätigkeiten nachgehen (vgl. SEM-act. 24/13 F16 ff.; SEM-act. 25/8 F16). Der Beschwerdeführer selbst relativierte die Bedeutung der geltend gemachten Diskriminierung für seine Flucht, indem er ausführte, dass vor den spezifischen Ereignissen im August (…) eigentlich alles in Ordnung gewesen sei (vgl. SEM-act. 24/13 F40). Die von den Beschwerdeführen- den konkret geltend gemachten Vorkommnisse gehen in ihrer Intensität nicht über die Nachteile hinaus, welche weite Teile der kurdischen und ale- vitischen Bevölkerung in der Türkei in ähnlicher Weise treffen können. Im Übrigen stellt das Bundesverwaltungsgericht in konstanter Praxis sehr hohe Anforderungen an die Bejahung einer Kollektivverfolgung, die im Fall der Kurden und Aleviten – auch unter Berücksichtigung der aktuellen poli- tischen Entwicklungen in der Türkei – nicht erfüllt sind (vgl. zum Ganzen das Referenzurteil des BVGer E-4103/2024 vom 8. November 2024).</w:t>
      </w:r>
    </w:p>
    <w:p>
      <w:r>
        <w:rPr>
          <w:b/>
        </w:rPr>
        <w:t>E. 5.4.3</w:t>
      </w:r>
    </w:p>
    <w:p>
      <w:r>
        <w:t>Sofern die Beschwerdeführenden rügen, die Vorinstanz habe die Glaubhaftigkeit ihrer Vorbringen bezüglich die Anwerbeversuche des Be- schwerdeführers durch die Polizei zu Unrecht verneint, vermögen sie damit nicht durchzudringen. Die Schilderung, wonach Sicherheitskräfte ausge- rechnet den Beschwerdeführer – einen Inhaber eines (…) ohne Parteimit- gliedschaft oder besondere Nähe zu Führungskadern – unter Druck ge- setzt hätten, um interne Informationen über die HDP zu beschaffen, wider- spricht der allgemeinen Logik des Handelns. Für eine solche Tätigkeit wäre eine Person mit etabliertem Vertrauensverhältnis innerhalb der Parteistruk- turen erforderlich gewesen. Gegen ein ernsthaftes, zielgerichtetes Verfol- gungsinteresse der türkischen Behörden spricht zudem der objektive Um- stand, dass sowohl der Beschwerdeführer (am (…)) als auch die Be- schwerdeführerin (am (…)) die Türkei legal auf dem Luftweg über einen kontrollierten Flughafen verlassen konnten (vgl. SEM-act. 24/13 F32 f.; SEM-act. 25/8 F31 ff.). Wären die Beschwerdeführenden wie von ihnen behauptet tatsächlich in den Fokus der Sicherheitsbehörden geraten, wäre eine problemlose Ausreise über die Passkontrolle kaum möglich gewesen (vgl. dazu Urteil des BVGer D-4749/2019 vom 16. Oktober 2019 E. 6.2).</w:t>
      </w:r>
    </w:p>
    <w:p>
      <w:r>
        <w:t>D-10068/2025 Seite 7 Ebenso ist zu berücksichtigen, dass der Beschwerdeführer nach einem mehrjährigen Aufenthalt in Schweden freiwillig in die Türkei zurückkehrte (vgl. SEM-act. 24/13 F6 f.). Dieses Verhalten deutet darauf hin, dass er sich zum damaligen Zeitpunkt nicht als gefährdet betrachtete, was die Be- hauptung einer langjährigen, systematischen Verfolgung aufgrund seiner Ethnie oder politischen Einstellung erheblich relativiert.</w:t>
      </w:r>
    </w:p>
    <w:p>
      <w:r>
        <w:rPr>
          <w:b/>
        </w:rPr>
        <w:t>E. 5.4.4</w:t>
      </w:r>
    </w:p>
    <w:p>
      <w:r>
        <w:t>Hinsichtlich der behaupteten Strafverfahren gegen den Beschwerde- führer (Propaganda für eine Terrororganisation, Präsidentenbeleidigung sowie Hassverbreitung/Beleidigung von Politikern) und der in diesem Zu- sammenhang erlassenen Vorführbefehle hat die Vorinstanz zutreffend die im Referenzurteil des Bundesverwaltungsgerichts E-4103/2024 vom 8. No- vember 2024 festgelegten Kriterien angewandt. Auch wenn davon ausge- gangen würde, dass entsprechende Verfahren hängig sind und die Ankla- geschriften durch Eingangsbeschlüsse der zuständigen Strafgerichte be- reits angenommen wurden, führt dies zu keiner anderen Einschätzung. Der Beschwerdeführer gilt als strafrechtlich unbescholten (vgl. SEM-act. 24/13 F40) und weist kein geschärftes oppositionelles Profil auf (blosse Sympa- thisantenschaft, keine Parteifunktion; vgl. SEM-act. 24/13 F46 f.). Selbst im Falle einer Verurteilung ist bei Ersttätern ohne exponierte politische Funk- tion regelmässig mit einer bedingten Strafe zu rechnen und der Strafrah- men wird in der Regel nicht ausgeschöpft (vgl. Referenzurteil des BVGer E-4103/2024 vom 8. November 2024 E. 8.7.1 f.). Die Behauptung, auf- grund einer Kumulation der Verfahren drohe zwingend eine langjährige, unbedingte Haftstrafe, ist spekulativ. Daran vermögen auch die geltend ge- machten Vorführbefehle sowie die Verweise in der Beschwerde auf aktu- elle Medienberichte nichts zu ändern. Bei solchen Befehlen handelt es sich praxisgemäss um Massnahmen zur Sicherstellung der Einvernahme, die namentlich bei Delikten im Bereich der Meinungsäusserung (Propaganda, Beleidigung) bei Personen mit dem Profil des Beschwerdeführers nach er- folgter Aussage in der Regel zur Freilassung und nicht zur Untersuchungs- haft führen (vgl. Referenzurteil des BVGer E-1472/2024 vom 12. April 2024 E. 6.2). Konkrete, individualisierte Hinweise, dass dem Beschwerdeführer abweichend von dieser Praxis eine unmittelbare, dauerhafte Inhaftierung drohen würde, sind weder substantiiert dargetan noch anderweitig ersicht- lich.</w:t>
      </w:r>
    </w:p>
    <w:p>
      <w:r>
        <w:rPr>
          <w:b/>
        </w:rPr>
        <w:t>E. 5.4.5</w:t>
      </w:r>
    </w:p>
    <w:p>
      <w:r>
        <w:t>Sofern die Beschwerdeführenden rügen, die Vorinstanz habe zu Un- recht auf eine Authentizitätsprüfung der eingereichten Gerichtsdokumente verzichtet und stelle überspitzte formelle Anforderungen, ist festzuhalten, dass die Voraussetzungen für die Flüchtlingseigenschaft selbst bei Unter- stellung der Echtheit der Dokumente mangels ernsthafter Nachteile nicht</w:t>
      </w:r>
    </w:p>
    <w:p>
      <w:r>
        <w:t>D-10068/2025 Seite 8 erfüllt sind. Dass die Vorinstanz diesen Beweismitteln mangels verifizier- barer Sicherheitsmerkmale nur geringen Beweiswert zubilligte, entspricht der gefestigten Praxis zu türkischen Verfahrensdokumenten (vgl. Urteile des BVGer D-7109/2023 vom 14. November 2024 E. 3.6; E-1067/2023 vom 24. April 2024 E. 7.2) und durfte – bei fehlender flüchtlingsrechtlicher Relevanz des Inhalts – offenbleiben (vgl. Referenzurteil des BVGer E-4103/2024 vom 8. November 2024 E. 9.6).</w:t>
      </w:r>
    </w:p>
    <w:p>
      <w:r>
        <w:rPr>
          <w:b/>
        </w:rPr>
        <w:t>E. 5.4.6</w:t>
      </w:r>
    </w:p>
    <w:p>
      <w:r>
        <w:t>Hinsichtlich der geltend gemachten exilpolitischen Aktivitäten (Social Media-Posts) ist festzustellen, dass der Beschwerdeführer sein Konto vor der Ausreise «bereinigt» und erst in Bosnien-Herzegowina beziehungs- weise im Exil intensiv gepostet hat (vgl. SEM-act. 24/13 F44). Ein solches Verhalten, bei dem die exponierten Handlungen erst nach Verlassen des Heimatlandes und in Sicherheit gesetzt werden, ist geeignet, den Eindruck zu erwecken, dass erst im Nachhinein eine asylrelevante Verfolgungssitu- ation geschaffen werden sollte. Wer durch provozierte Aktivitäten erst die Verfolgungsgefahr schafft, verdient gemäss ständiger Praxis keinen flücht- lingsrechtlichen Schutz. Unbesehen davon lassen die angeführten Tätig- keiten nach der Ausreise (Social Media-Posts, Teilnahme an Demonstrati- onen und politischen Veranstaltungen) keine begründete Furcht vor mit be- achtlicher Wahrscheinlichkeit in absehbarer Zukunft eintretenden Verfol- gungsmassnahmen erkennen (vgl. Referenzurteil des BVGer E-4103/2024 vom 8. November 2024 E. 8.7.5).</w:t>
      </w:r>
    </w:p>
    <w:p>
      <w:r>
        <w:rPr>
          <w:b/>
        </w:rPr>
        <w:t>E. 5.4.7</w:t>
      </w:r>
    </w:p>
    <w:p>
      <w:r>
        <w:t>Bezüglich der Beschwerdeführerin ist festzuhalten, dass ihre Asyl- gründe im Wesentlichen von denjenigen ihres Ehemannes abgeleitet sind. Sie hat bestätigt, persönlich nie Probleme mit den türkischen Behörden ge- habt zu haben und sich nicht politisch betätigt zu haben (vgl. SEM-act. 25/8 F41). Soweit sie auf Diskriminierungen während der Schulzeit verweist, lie- gen diese Ereignisse lange zurück und erreichen nicht die Intensität einer asylrelevanten Verfolgung. Da die Vorbringen des Ehemannes die Flücht- lingseigenschaft nicht zu begründen vermögen, entfällt auch die Grundlage für eine Anerkennung der Beschwerdeführerin.</w:t>
      </w:r>
    </w:p>
    <w:p>
      <w:r>
        <w:rPr>
          <w:b/>
        </w:rPr>
        <w:t>E. 5.5</w:t>
      </w:r>
    </w:p>
    <w:p>
      <w:r>
        <w:t>Zusammenfassend liegen keine konkreten Hinweise darauf vor, dass die Beschwerdeführenden einer asylbeachtlichen Verfolgung oder einer entsprechenden Verfolgungsgefahr ausgesetzt waren oder im Falle ihrer Rückkehr in die Türkei ernsthafte Nachteile im Sinne von Art. 3 AsylG zu gewärtigen hätten. Folglich hat die Vorinstanz zu Recht die Flüchtlingsei- genschaft verneint und die Asylgesuche abgelehnt.</w:t>
      </w:r>
    </w:p>
    <w:p>
      <w:r>
        <w:rPr>
          <w:b/>
        </w:rPr>
        <w:t>E. 6</w:t>
      </w:r>
    </w:p>
    <w:p>
      <w:r>
        <w:t>D-10068/2025 Seite 9 Lehnt das SEM das Asylgesuch ab oder tritt es darauf nicht ein, so verfügt es in der Regel die Wegweisung aus der Schweiz und ordnet den Vollzug an (Art. 44 AsylG). Die Beschwerdeführenden verfügen insbesondere we- 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den Beschwerdeführenden nicht gelungen ist, eine asylrechtlich er- hebliche Gefährdung glaubhaft zu machen, findet der in Art. 5 AsylG ver- ankerte Grundsatz der Nichtrückschiebung im vorliegenden Verfahren keine Anwendung. Eine Rückkehr der Beschwerdeführenden in den Hei- matstaat ist demnach unter dem Aspekt von Art. 5 AsylG rechtmässig. We- der ihre Aussagen noch die übrige Aktenlage lassen erkennen, dass ihnen im Falle einer Ausschaffung mit beachtlicher Wahrscheinlichkeit eine nach Art. 3 EMRK oder Art. 1 des Übereinkommens vom 10. Dezember 1984 gegen Folter und andere grausame, unmenschliche oder erniedrigende Behandlung oder Strafe (FoK, SR 0.105) verbotene Strafe oder Behand- lung drohen würde.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7.3.2</w:t>
      </w:r>
    </w:p>
    <w:p>
      <w:r>
        <w:t>Weder die allgemeine Lage in der Türkei noch individuelle Gründe wirtschaftlicher oder sozialer Natur lassen auf eine konkrete Gefährdung</w:t>
      </w:r>
    </w:p>
    <w:p>
      <w:r>
        <w:t>D-10068/2025 Seite 10 der Beschwerdeführenden im Fall einer Rückkehr schliessen. In diesem Zusammenhang kann vollumfänglich auf die zwar kurz ausgefallenen, aber zutreffenden Erwägungen der Vorinstanz verwiesen werden (vgl. ange- fochtene Verfügung S. 9 f.). Die auf Beschwerdeebene vorgebrachten all- gemeinen Ausführungen zur Situation in den Erdbebengebieten sowie zur politischen Lage ändern nichts an dieser Einschätzung. Die Beschwerde- führenden sind beide im erwerbsfähigen Alter. Der Beschwerdeführer ver- fügt über Berufserfahrung im (…) und führte bereits selbstständig ein Ge- schäft für (…) (vgl. SEM-act. 24/13 F17, 48), während die Beschwerdefüh- rerin Erfahrung in der (…) aufweist (vgl. SEM-act. 25/8 F16 f.). Zudem ver- fügen sie über ein enges und tragfähiges familiäres Beziehungsnetz in der Türkei (vgl. SEM-act. 24/13 F21, 14; SEM-act. 25/8 F21 f.), auf welches sie bereits im Zusammenhang mit der Finanzierung der Ausreise (EUR 15'000.–; vgl. SEM-act. 24/13 F36) zurückgreifen konnten. Vor diesem Hin- tergrund ist davon auszugehen, dass sie auch künftig auf familiäre Unter- stützung zählen können. Aufgrund der beruflichen Qualifikationen, der Fle- xibilität der ausgeübten Tätigkeiten und der finanziellen Möglichkeiten der Familie (vgl. SEM-act. 24/13 F13 f.) ist davon auszugehen, dass sie in der Lage sein werden, für ihren Lebensunterhalt aufzukommen und bei einer Rückkehr in die Türkei in keine existenzbedrohende Notlage geraten dürf- ten. Zudem sind keine medizinischen Gründe geltend gemacht worden oder anderweitig ersichtlich, welche dem Vollzug der Wegweisung entge- genstehen könnten. Nach dem Gesagten erweist sich der Vollzug der Weg- weisung sowohl in genereller als auch in individueller Hinsicht als zumut- bar.</w:t>
      </w:r>
    </w:p>
    <w:p>
      <w:r>
        <w:rPr>
          <w:b/>
        </w:rPr>
        <w:t>E. 7.4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D-10068/2025 Seite 11</w:t>
      </w:r>
    </w:p>
    <w:p>
      <w:r>
        <w:rPr>
          <w:b/>
        </w:rPr>
        <w:t>E. 9.1</w:t>
      </w:r>
    </w:p>
    <w:p>
      <w:r>
        <w:t>Die Beschwerdeführenden ersuchen um Gewährung der unentgeltli- chen Prozessführung im Sinne von Art. 65 Abs. 1 VwVG. Da ihre Begehren gemäss den vorstehenden Erwägungen als aussichtslos zu gelten haben, ist eine der kumulativ erforderlichen Voraussetzungen nicht erfüllt. Dem Gesuch ist daher nicht zu entsprechen. Aus demselben Grund ist auch das Gesuch um unentgeltliche Rechtsverbeiständung gemäss Art. 102m Abs. 1 lit. a AsylG abzuweisen.</w:t>
      </w:r>
    </w:p>
    <w:p>
      <w:r>
        <w:rPr>
          <w:b/>
        </w:rPr>
        <w:t>E. 9.2</w:t>
      </w:r>
    </w:p>
    <w:p>
      <w:r>
        <w:t>Bei diesem Verfahrensausgang sind die Kosten den Beschwerdefüh- renden aufzuerlegen (Art. 63 Abs. 1 VwVG) und auf Fr. 1’000.– festzuset- zen (Art. 1–3 des Reglements vom 21. Februar 2008 über die Kosten und Entschädigungen vor dem Bundesverwaltungsgericht [VGKE, SR 173.320.2]).</w:t>
      </w:r>
    </w:p>
    <w:p>
      <w:r>
        <w:t>(Dispositiv nächste Seite)</w:t>
      </w:r>
    </w:p>
    <w:p>
      <w:r>
        <w:t>D-10068/2025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