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D-1003/2020 vom 24. März 2020</w:t>
      </w:r>
    </w:p>
    <w:p>
      <w:r>
        <w:t>Bundesverwaltungsgericht, 2020-03-24, DE</w:t>
      </w:r>
    </w:p>
    <w:p>
      <w:r>
        <w:rPr>
          <w:b/>
        </w:rPr>
        <w:t xml:space="preserve">Quelle: </w:t>
      </w:r>
      <w:r>
        <w:t>https://mcp.opencaselaw.ch/entscheid/bvger_D-1003_2020</w:t>
      </w:r>
    </w:p>
    <w:p>
      <w:r>
        <w:t>FR: TAF D-1003/2020 du 24 mars 2020</w:t>
      </w:r>
    </w:p>
    <w:p>
      <w:r>
        <w:t>IT: TAF D-1003/2020 del 24 marzo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Revisionsgesuchs Art. 67 Abs. 3 VwVG Anwendung.</w:t>
      </w:r>
    </w:p>
    <w:p>
      <w:r>
        <w:rPr>
          <w:b/>
        </w:rPr>
        <w:t>E. 1.3</w:t>
      </w:r>
    </w:p>
    <w:p>
      <w:r>
        <w:t>Der Gesuchsteller versucht mit der Nachreichung von Beweismitteln die im ordentlichen Beschwerdeverfahren vorgebrachte Verfolgung im Heimatland zu belegen und macht damit die ursprüngliche Fehlerhaftigkeit des Beschwerdeentscheids D-1485/2016 vom 13. Mai 2019 geltend.</w:t>
      </w:r>
    </w:p>
    <w:p>
      <w:r>
        <w:rPr>
          <w:b/>
        </w:rPr>
        <w:t>E. 1.4</w:t>
      </w:r>
    </w:p>
    <w:p>
      <w:r>
        <w:t>Der Gesuchsteller ist durch das betreffende Beschwerdeurteil vom 13. Mai 2019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Beschwerdeentscheids angefochten, im Hinblick darauf, dass die Rechtskraft beseitigt wird und über die Sache neu entschieden werden kann (vgl. BVGE 2012/7 E. 2.4.2 mit Verweis auf BVGE 2007/21). Wird das Revisionsgesuch gutgeheissen, beseitigt dies die Rechtkraft des angefochtenen Urteils, das Beschwerdeverfahren ist wiederaufzunehmen und die Streitsache neu zu beurteilen (vgl. André Moser/Michael Beusch/Lorenz Kneubühler, Prozessieren vor dem Bundesverwaltungsgericht, 2. Aufl. 2013, S. 303 Rz. 5.36). Bei einer Gutheissung des Revisionsgesuchs befände sich der Gesuchsteller somit im (ursprünglichen) ordentlichen Beschwerdeverfahren, in welchem sämtliche Beweismittel und Tatsachen, auch jene, die nach dem Urteilszeitpunkt eingereicht beziehungsweise geltend gemacht wurden, nach den für dieses Verfahren geltenden Vorschriften und Grundsätzen zu prüfen wären (vgl. Ursina Beerli-Bonorand, Die ausserordentlichen Rechtsmittel des Bundes und der Kantone, Zürich 1985, S. 165 f.).</w:t>
      </w:r>
    </w:p>
    <w:p>
      <w:r>
        <w:rPr>
          <w:b/>
        </w:rPr>
        <w:t>E. 2.2</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den gesetzlichen Revisionsgrund von Art. 123 Abs. 2 Bst. a BGG an. Das Revisionsgesuch vom 20. Februar 2020 ist damit grundsätzlich hinreichend begründet (vgl. E. 2.3).</w:t>
      </w:r>
    </w:p>
    <w:p>
      <w:r>
        <w:rPr>
          <w:b/>
        </w:rPr>
        <w:t>E. 2.5</w:t>
      </w:r>
    </w:p>
    <w:p>
      <w:r>
        <w:t>Gemäss Art. 124 Abs. 1 Bst. d BGG ist das Revisionsgesuch innert 90 Tagen seit Kenntnis der nachträglich erfahrenen Tatsache oder des aufgefundenen Beweismittels einzureichen. Vom positiven Asylentscheid seiner (Verwandten) F._______ vom (...) 2015 hatte der Gesuchsteller bereits länger als 90 Tage Kenntnis (vgl. seine Eingabe vom 25. Oktober 2019 im Beschwerdeverfahren betreffend Wiedererwägung D-5043/2019). Aber angesichts seines Vorbringens, erst nach der am 5. Februar 2020 erfolgten Einwilligung von F._______ Einsicht in deren Befragungsprotokolle vom (...) 2013 und (...) 2015 und damit konkrete Kenntnis ihrer Aussagen erhalten zu haben, ist die besagte Frist von Art. 124 Abs. 1 Bst. d BGG vorliegend als gewahrt zu erachten. Auf das Revisionsgesuch ist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ordentlichen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Moser/Beusch/Kneubühler, S. 306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3.2</w:t>
      </w:r>
    </w:p>
    <w:p>
      <w:r>
        <w:t>Dem Gesuchsteller ist es im Rahmen des vorangegangenen Asyl- und Beschwerdeverfahrens nicht gelungen, seine Fluchtgründe (Verfolgung seitens der sri-lankischen Armee wegen Unterstützung der TNA) glaubhaft zu machen. Auf Revisionsebene beruft er sich nun auf Aussagen seiner (Verwandten) F._______, die diese in ihrem Asylverfahren am (...) 2013 und (...) 2015 - mithin vor Erlass des negativen Asylentscheids betreffend den Gesuchsteller vom 29. Januar 2016 respektive des Beschwerdeurteils vom 13. Mai 2019 - gemacht habe. Demnach habe F._______ eine allein auf ihn zurückzuführende Reflexverfolgung durch sri-lankische Soldaten vorgebracht, worauf ihr vom SEM am (...) 2015 Asyl gewährt worden sei. Vorab ist festzuhalten, dass sich die Beweismittel, auf welche sich der Gesuchsteller vorliegend beruft, zwar vor dem Beschwerdeurteil vom 13. Mai 2019 datieren (Befragungsprotokolle der [Verwandten] vom [...] 2013 und [...] 2015 und deren positiver Asylentscheid vom [...] 2015), sich der Revisionseingabe vom 20. Februar 2020 aber nicht entnehmen lässt, seit wann der Gesuchsteller Kenntnis von dem positiven Asylentscheid der (Verwandten) ausschliesslich aufgrund der geltend gemachten Reflexverfolgung seinetwegen hat. Aktenkundig ist, dass er am 25. Oktober 2019 davon wusste (vgl. Beschwerdeergänzung vom 25. Oktober 2019 im Beschwerdeverfahren D-5043/2019). Hinweise, dass er bereits im ordentlichen Beschwerdeverfahren D-1485/2016, in dem er ebenfalls von dem rubrizierten Rechtsanwalt vertreten war, Kenntnis von den durch die (Verwandte) geltend gemachten Fluchtgründen gehabt hätte, lassen sich den Akten nicht entnehmen. Laut dem Protokoll der Anhörung der (Verwandten) vom (...) 2015 hätten die (Verwandten) zu jener Zeit nicht miteinander geredet, was die Vorbringen des Beschwerdeführers zur Unkenntnis bestätigen. Letzteres ist angesichts der geltend gemachten und vom SEM für glaubhaft erkannten Ereignisse auch nachvollziehbar. Da die (Verwandte) vom SEM einen positiven Asylentscheid erhalten hat, wurden ihr auch nie die Protokolle ausgehändigt. Belegt ist sodann, dass das SEM dem Gesuchsteller erstmals am 14. Februar 2020 Einsicht in die Befragungsprotokolle der (Verwandten) gewährt hat, nachdem F._______ sich damit am 5. Februar 2020 einverstanden erklärt und der Gesuchsteller gleichentags beim SEM ein entsprechendes Akteneinsichtsgesuch gestellt hatte. Im Übrigen ist auch festzuhalten, dass es grundsätzlich Aufgabe der Asylbehörden ist, im Rahmen der Entscheidfindung Asylakten naher Verwandter zu konsultieren, und sich mit Aussagen, die Berührungspunkte aufweisen, auseinanderzusetzen. Dass dies auch vorliegend der Fall war, durfte der Beschwerdeführer grundsätzlich in guten Treuen annehmen. Nach der Lektüre der nun auf Revisionsebene eingereichten Befragungsprotokolle von F._______ vom (...) 2013 und (...) 2015 lässt sich zwischen den Asylvorbringen der (Verwandten) ein enger Zusammenhang erkennen. F._______ hat einen Monat nach dem Gesuchsteller in der Schweiz um Asyl nachgesucht und angegeben, nach der Ausreise des Gesuchstellers aus Sri Lanka von Soldaten zwecks Befragung zum Gesuchsteller mitgenommen worden zu sein. Dass das SEM diese Aussagen von F._______ im Asylverfahren des Gesuchstellers berücksichtigt hätte, lässt sich den Akten nicht entnehmen. In der den Gesuchsteller betreffenden Verfügung des SEM vom 29. Januar 2016 wurde F._______- und das ihr am (...) 2015 gewährte Asyl - nicht erwähnt. Aufgrund der Aktenlage ist somit nicht davon auszugehen, dass die Asylakten der (Verwandten) im Asyl- und ordentlichen Beschwerdeverfahren des Gesuchstellers konsultiert worden wären. Die vom Gesuchsteller revisionsweise vorgelegten Befragungsprotokolle der (Verwandten) F._______ sind aufgrund des engen Zusammenhangs der Asylvorbringen der (Verwandten) als erheblich zu qualifizieren. Das ordentliche Beschwerdeverfahren ist daher wiederaufzunehmen und die Asylvorbringen des Gesuchstellers sind, unter Beizug der Asylakten seiner (Verwandten), neu zu beurteilen.</w:t>
      </w:r>
    </w:p>
    <w:p>
      <w:r>
        <w:rPr>
          <w:b/>
        </w:rPr>
        <w:t>E. 4</w:t>
      </w:r>
    </w:p>
    <w:p>
      <w:r>
        <w:t>Nach dem Gesagten erweist sich das Gesuch vom 20. Februar 2020 um Revision des Beschwerdeurteils D-1485/2016 vom 13. Mai 2019 als begründet. Das Revisionsgesuch ist gutzuheissen, das Urteil vom 13. Mai 2019 aufzuheben und das ordentliche Beschwerdeverfahren unter neuer Verfahrensnummer wiederaufzunehmen. Damit wird das Beschwerdeverfahren in das Prozessstadium versetzt, in dem es sich vor der Urteilsfällung befand, und der Gesuchsteller darf den Ausgang des wiederaufgenommenen Beschwerdeverfahrens in der Schweiz abwarten (Art. 42 AsylG).</w:t>
      </w:r>
    </w:p>
    <w:p>
      <w:r>
        <w:rPr>
          <w:b/>
        </w:rPr>
        <w:t>E. 5</w:t>
      </w:r>
    </w:p>
    <w:p>
      <w:r>
        <w:t>Bei diesem Ausgang des Verfahrens sind keine Kosten zu erheben (Art. 63 Abs. 1 und 2 VwVG).</w:t>
      </w:r>
    </w:p>
    <w:p>
      <w:r>
        <w:rPr>
          <w:b/>
        </w:rPr>
        <w:t>E. 6</w:t>
      </w:r>
    </w:p>
    <w:p>
      <w:r>
        <w:t>Dem vertretenen Gesuchsteller ist angesichts seines Obsiegens in Anwendung von Art. 64 VwVG und Art. 7 Abs. 1 des Reglements vom 21. Februar 2008 über die Kosten und Entschädigungen vor dem Bundesverwaltungsgericht (VGKE, SR 173.320.2) eine Entschädigung für die ihm im Zusammenhang mit dem Revisionsgesuch notwendigerweise erwachsenen Parteikosten zuzusprechen. Seitens der Rechtsvertretung wurde keine Kostennote zu den Akten gereicht, weshalb die notwendigen Parteikosten aufgrund der Akten zu bestimmen sind (Art. 14 Abs. 2 in fine VGKE). Die vom Bundesverwaltungsgericht an den Gesuchsteller auszurichtende Parteientschädigung ist in Anwendung der genannten Bestimmungen und unter Berücksichtigung der massgeblichen Bemessungsfaktoren von Amtes wegen auf insgesamt Fr. 900.-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