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C-9/2012 vom 28. März 2012</w:t>
      </w:r>
    </w:p>
    <w:p>
      <w:r>
        <w:t>Bundesverwaltungsgericht, 2012-03-28, IT</w:t>
      </w:r>
    </w:p>
    <w:p>
      <w:r>
        <w:rPr>
          <w:b/>
        </w:rPr>
        <w:t xml:space="preserve">Quelle: </w:t>
      </w:r>
      <w:r>
        <w:t>https://mcp.opencaselaw.ch/entscheid/bvger_C-9_2012</w:t>
      </w:r>
    </w:p>
    <w:p>
      <w:r>
        <w:t>FR: TAF C-9/2012 du 28 mars 2012</w:t>
      </w:r>
    </w:p>
    <w:p>
      <w:r>
        <w:t>IT: TAF C-9/2012 del 28 marzo 2012</w:t>
      </w:r>
    </w:p>
    <w:p>
      <w:pPr>
        <w:pStyle w:val="Heading2"/>
      </w:pPr>
      <w:r>
        <w:t>Regeste</w:t>
      </w:r>
    </w:p>
    <w:p>
      <w:r>
        <w:t>Rendite</w:t>
      </w:r>
    </w:p>
    <w:p>
      <w:pPr>
        <w:pStyle w:val="Heading2"/>
      </w:pPr>
      <w:r>
        <w:t>Erwägungen</w:t>
      </w:r>
    </w:p>
    <w:p>
      <w:r>
        <w:rPr>
          <w:b/>
        </w:rPr>
        <w:t>E. 1</w:t>
      </w:r>
    </w:p>
    <w:p>
      <w:r>
        <w:t>In virtù dell'art. 31 della legge del 17 giugno 2005 sul Tribunale amministrativo federale (LTAF, RS 173.32), questo tribunale giudica i ricorsi contro le decisioni ai sensi dell'art. 5 della legge federale del 20 dicembre 1968 sulla procedura amministrativa (PA, RS 172.021) emanate dalle autorità menzionate all'art. 33 LTAF, riservate le eccezioni di cui all'art. 32. In particolare, le decisioni rese dalla CSC concernenti l'assicurazione per la vecchiaia e per i superstiti possono essere portate innanzi a questo Tribunale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(ALCP,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ALCP,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vecchiaia o superstiti svizzera sono regolate dal diritto interno svizzero (DTF 130 V 257 consid. 2.4).</w:t>
      </w:r>
    </w:p>
    <w:p>
      <w:r>
        <w:rPr>
          <w:b/>
        </w:rPr>
        <w:t>E. 3.3</w:t>
      </w:r>
    </w:p>
    <w:p>
      <w:r>
        <w:t>L'art. 153a LAVS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4</w:t>
      </w:r>
    </w:p>
    <w:p>
      <w:r>
        <w:t>L'oggetto dell'impugnativa concerne il presunto versamento da parte del ricorrente di contributi AVS/AI nel corso della sua attività per un datore di lavoro svizzero. L'interessato fa valere di avere versato detti contributi segnatamente nel corso della sua permanenza nella case di detenzione di Thorberg nel Cantone di Berna e Genferstrasse 22 a Berna. Durante il suo soggiorno dal 18 novembre 1982 al 23 dicembre 1984 egli avrebbe lavorato per conto terzi (in regime carcerario non precisabile) e dunque dovrebbero figurare dei contributi assicurativi AVS/AI.</w:t>
      </w:r>
    </w:p>
    <w:p>
      <w:r>
        <w:rPr>
          <w:b/>
        </w:rPr>
        <w:t>E. 5.1</w:t>
      </w:r>
    </w:p>
    <w:p>
      <w:r>
        <w:t>Possono pretendere una rendita ordinaria di vecchiaia tutti gli aventi diritto ai quali possono essere computati almeno un anno intero di reddito o di accredito per compiti educativi (art. 29 cpv. 1 LAVS). In base all'art. 1a LAVS, sono assicurati ai sensi della legge le persone fisiche domiciliate in Svizzera e le persone fisiche che esercitano un'attività lucrativa in Svizzera.</w:t>
      </w:r>
    </w:p>
    <w:p>
      <w:r>
        <w:rPr>
          <w:b/>
        </w:rPr>
        <w:t>E. 5.2</w:t>
      </w:r>
    </w:p>
    <w:p>
      <w:r>
        <w:t>Va rilevato che per ogni assicurato obbligato a pagare i contributi è tenuto un conto individuale sul quale sono annotate le indicazioni necessarie per il calcolo delle rendite ordinarie (art. 30ter LAVS). La registrazione nel conto individuale dell'assicurato comprende, fra l'altro, il reddito annuo in franchi, l'anno di contribuzione e la durata contributiva espressa in mesi (art. 140 dell'ordinanza sull'assicurazione per la vecchiaia e per i superstiti del 31 ottobre 1947 [OAVS, RS 831.101]).</w:t>
      </w:r>
    </w:p>
    <w:p>
      <w:r>
        <w:rPr>
          <w:b/>
        </w:rPr>
        <w:t>E. 5.3</w:t>
      </w:r>
    </w:p>
    <w:p>
      <w:r>
        <w:t>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rapportata la prova assoluta che un datore di lavoro ha effettivamente trattenuto i contributi 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ivi compresi gli anni caduti in prescrizione giusta l'art. 16 cpv. 1 LAVS (RCC 1984 p. 184 e 459).</w:t>
      </w:r>
    </w:p>
    <w:p>
      <w:r>
        <w:rPr>
          <w:b/>
        </w:rPr>
        <w:t>E. 5.4</w:t>
      </w:r>
    </w:p>
    <w:p>
      <w:r>
        <w:t>La regola in tema di prova indicata dall'art. 141 cpv. 3 OAVS, secondo cui la rettifica delle iscrizioni nel momento in cui si verifica l'evento assicurato pretende la prova piena, non esclude in ogni modo l'applicazione del principio inquisitorio, di modo che questa deve essere fornita secondo le regole usuali sull'assunzione e l'onere della prova prevalenti nell'ambito delle assicurazioni sociali, l'obbligo di collaborare della parte essendo in questo caso accresciuto (DTF 117 V 265 consid. 3d).</w:t>
      </w:r>
    </w:p>
    <w:p>
      <w:r>
        <w:rPr>
          <w:b/>
        </w:rPr>
        <w:t>E. 6.1</w:t>
      </w:r>
    </w:p>
    <w:p>
      <w:r>
        <w:t>In esito alla sentenza di questo Tribunale del 27 luglio 2010 (doc. 19), la CSC ha effettuato tutte quelle ricerche che l'autorità giudiziaria aveva ritenuto utili. L'amministrazione si è rivolta ai due istituti carcerari ed alla cassa di compensazione del Cantone di Berna. Ora, nessuna casa di pena è in grado di fornire notizie circa l'attività svolta dal detenuto. Informazioni di questo carattere sono conservate solo per 10 anni, dopodiché sono distrutte (doc. 36, 40). Peraltro, il penitenziario della Genferstrasse 22 precisa che l'attuale prassi non prevede il versamento di contributi per prestazioni lavorative svolte in ambito carcerario (doc. 40).</w:t>
      </w:r>
    </w:p>
    <w:p>
      <w:r>
        <w:rPr>
          <w:b/>
        </w:rPr>
        <w:t>E. 6.2</w:t>
      </w:r>
    </w:p>
    <w:p>
      <w:r>
        <w:t>Dal canto suo, l'insorgente non ha mai fornito la prova di un prelievo contributivo AVS/AI sulle sue retribuzioni in regime carcerario. Neppure le ricerche complementari svolte da parte dell'amministrazione, da ritenersi complete, hanno dato migliore esito.</w:t>
      </w:r>
    </w:p>
    <w:p>
      <w:r>
        <w:rPr>
          <w:b/>
        </w:rPr>
        <w:t>E. 6.3</w:t>
      </w:r>
    </w:p>
    <w:p>
      <w:r>
        <w:t>Infine, la proposta del ricorrente per una soluzione transattiva volta, se ben si comprende, a riconoscergli una rendita anche in assenza di contribuzione non può essere tutelata, facendo difetto una base legale. In queste circostanze il ricorso deve essere respinto e l'impugnata decisione confermata.</w:t>
      </w:r>
    </w:p>
    <w:p>
      <w:r>
        <w:rPr>
          <w:b/>
        </w:rPr>
        <w:t>E. 7.1</w:t>
      </w:r>
    </w:p>
    <w:p>
      <w:r>
        <w:t>Il ricorso, manifestamente infondato, può essere risolto da un giudice unico in applicazione dell'art. 85bis cpv. 3 LAVS.</w:t>
      </w:r>
    </w:p>
    <w:p>
      <w:r>
        <w:rPr>
          <w:b/>
        </w:rPr>
        <w:t>E. 7.2</w:t>
      </w:r>
    </w:p>
    <w:p>
      <w:r>
        <w:t>Non sono prelevate spese processuali né si assegnano indennità per le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