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C-99/2011 vom 29. Oktober 2012</w:t>
      </w:r>
    </w:p>
    <w:p>
      <w:r>
        <w:t>Bundesverwaltungsgericht, 2012-10-29, DE</w:t>
      </w:r>
    </w:p>
    <w:p>
      <w:r>
        <w:rPr>
          <w:b/>
        </w:rPr>
        <w:t xml:space="preserve">Quelle: </w:t>
      </w:r>
      <w:r>
        <w:t>https://mcp.opencaselaw.ch/entscheid/bvger_C-99_2011</w:t>
      </w:r>
    </w:p>
    <w:p>
      <w:r>
        <w:t>FR: TAF C-99/2011 du 29 octobre 2012</w:t>
      </w:r>
    </w:p>
    <w:p>
      <w:r>
        <w:t>IT: TAF C-99/2011 del 29 ottobre 2012</w:t>
      </w:r>
    </w:p>
    <w:p>
      <w:pPr>
        <w:pStyle w:val="Heading2"/>
      </w:pPr>
      <w:r>
        <w:t>Regeste</w:t>
      </w:r>
    </w:p>
    <w:p>
      <w:r>
        <w:t>Einreiseverbot</w:t>
      </w:r>
    </w:p>
    <w:p>
      <w:pPr>
        <w:pStyle w:val="Heading2"/>
      </w:pPr>
      <w:r>
        <w:t>Erwägungen</w:t>
      </w:r>
    </w:p>
    <w:p>
      <w:r>
        <w:rPr>
          <w:b/>
        </w:rPr>
        <w:t>E. 1</w:t>
      </w:r>
    </w:p>
    <w:p>
      <w:r>
        <w:t>1.1 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einzutreten (vgl. Art. 49 ff.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 und Urteil des BVGer A-2682/2007 vom 7. Oktober 2010 E. 1.2 und 1.3). 3.Hinsichtlich der als Beweismassnahme beantragten gerichtlichen Befragung des Vaters des Beschwerdeführers bezüglich der unentgeltlichen Rechtspflege kann festgehalten werden, dass diese mit Ablehnung des Gesuchs vom 17. Mai 2011 grundsätzlich hinfällig geworden ist. Die Behörde kann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 Überdies handelt es sich bei der Zeugeneinvernahme gemäss Art. 14 VwVG um ein subsidiäres Beweismittel; eine solche darf - der besonderen Voraussetzungen und Folgen wegen - nur ausnahmsweise angeordnet werden (vgl. zum Ganzen Urteil des Bundesverwaltungsgerichts C-4426/2009 vom 19. Juni 2012 E. 3.1).</w:t>
      </w:r>
    </w:p>
    <w:p>
      <w:r>
        <w:rPr>
          <w:b/>
        </w:rPr>
        <w:t>E. 4.1</w:t>
      </w:r>
    </w:p>
    <w:p>
      <w:r>
        <w:t>Wird gegen eine Person, welche nicht Angehörige eines Staates ist, der durch eines der Schengen-Assoziierungsabkommen (vgl. Anhang 1 Ziffer 1 des Ausländergesetzes vom 16. Dezember 2005 [AuG, SR 142.20])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 5.5.1 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der Dauer von Fernhaltemassnahmen ist mit den obgenannten Grundsätzen vereinbar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8896]) weswegen sich für den Beschwerdeführer im Ergebnis nichts ändert (Urteil des Bundesverwaltungsgerichts C-3304/2009 vom 18. Januar 2012 E. 5.1 mit Hinweis). 5.2 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 5.3 Mit Jugendverfügung der Jugendanwaltschaft des Kantons Solothurn vom 7. Dezember 2010 wurde der Beschwerdeführer wegen Sachbeschädigung, Hausfriedensbruchs und Diebstahls von fünf Sturmgewehren mit einem Freiheitsentzug von vier Wochen bedingt bestraft. Die Probezeit wurde auf ein Jahr festgesetzt. Aufgrund dessen kann nicht in Abrede gestellt werden, dass der Beschwerdeführer im Sinne von Art. 67 Abs. 2 Bst. a AuG gegen die öffentliche Sicherheit und Ordnung verstossen und damit einen Fernhaltegrund gesetzt hat. 6.6.1 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Zürich/St. Gallen 2010, Rz. 613 ff.). 6.2 Das Fehlverhalten des Beschwerdeführers wiegt objektiv nicht leicht. Der Beachtung von Strafnormen kommt im Interesse einer funktionierenden Rechtsordnung eine zentrale Bedeutung zu. Das generalpräventiv motivierte Interesse, die geltende rechtliche Ordnung durch eine konsequente Massnahmenpraxis gegenüber fehlbaren ausländischen Personen zu schützen, ist ganz allgemein als gewichtig zu betrachten. Miteinzubeziehen sind die Deliktsmehrheit sowie die Art des Diebesgutes. Auch was die subjektive Seite anbelangt, lässt sich das Verhalten des Beschwerdeführers keineswegs bagatellisieren, ist doch aufgrund der gesamten Begleitumstände von einem bewussten Vorgehen auszugehen. So war er nicht lediglich Mitläufer, wie vorgebracht wird, sondern besprach zusammen mit seinem Bruder den Einbruch und entwickelte dabei eine erhebliche kriminelle Energie. Zudem gab er die Taten erst zu, als sein Bruder bereits gestanden hatte (vgl. Protokoll des Haftgerichts vom 22. November 2010, S. 1ff.). Kommt hinzu, dass er bereits kurz nach der Einreise schon straffällig wurde. Der Beschwerdeführer hat sich demnach bewusst über die geltende Rechtsordnung hinweggesetzt. Somit ist dem öffentlichen Interesse an einer längeren Fernhaltung grosses Gewicht beizumessen. 6.3 An persönlichen Interessen bringt der Beschwerdeführer vor, er möchte den Kontakt mit seinem in der Schweiz lebenden Vater weiterhin im Rahmen von regelmässigen Besuchen in der Schweiz pflegen. Ein Einreiseverbot von fünf Jahren sei angesichts der gesamten Umstände als unverhältnismässig anzusehen. 6.4 Die Wirkung des Einreiseverbots besteht nicht darin, dass dem Beschwerdeführer während dessen Geltungsdauer Besuchsaufenthalte bei ihm nahe stehenden Personen in der Schweiz schlichtweg untersagt wären. Es steht ihm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C-3304/2009 vom 18. Januar 2012 E. 7.2 in fine mit Hinweis). Dem Beschwerdefrüher stehen zudem diverse Mittel der Kommunikation offen, um mit seiner Familie in der Schweiz in Kontakt zu bleiben (Briefverkehr, Videotelefonie, Telefonate oder durch Reisen seiner Angehörigen in den Aufenthaltsstaat des Beschwerdeführers). 6.5 Eine wertende Gewichtung der sich entgegenstehenden Interessen führt das Bundesverwaltungsgericht zum Schluss, dass das auf fünf Jahre befristete Einreiseverbot auch im gegenwärtigen Zeitpunkt unter Berücksichtigung der gängigen Praxis in vergleichbaren Fällen eine verhältnismässige und angemessene Massnahme zum Schutz der öffentlichen Ordnung darstellt.</w:t>
      </w:r>
    </w:p>
    <w:p>
      <w:r>
        <w:rPr>
          <w:b/>
        </w:rPr>
        <w:t>E. 7</w:t>
      </w:r>
    </w:p>
    <w:p>
      <w:r>
        <w:t>Aus diesen Erwägungen ergibt sich, dass die angefochtene Verfügung im Lichte von Art. 49 VwVG nicht zu beanstanden ist. Die Beschwerde ist demzufolge abzuweisen. 8.Entsprechend dem Ausgang des Verfahrens wird der unterliegende Beschwerdeführer kostenpflichtig (vgl. Art. 63 Abs. 1 VwVG, Art. 1, 2 und 3 Bst. b des Reglements über die Kosten und Entschädigungen vor dem Bundesverwaltungsgericht vom 21. Februar 2008 [VGKE, SR 173.320.2]).</w:t>
      </w:r>
    </w:p>
    <w:p>
      <w:r>
        <w:rPr>
          <w:b/>
        </w:rPr>
        <w:t>E. 9</w:t>
      </w:r>
    </w:p>
    <w:p>
      <w:r>
        <w:t>Das vorliegende Urteil ist endgültig (Art. 83 Bst. c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