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C-998/2018 vom 19. Dezember 2019</w:t>
      </w:r>
    </w:p>
    <w:p>
      <w:r>
        <w:t>Bundesverwaltungsgericht, 2019-12-19, DE</w:t>
      </w:r>
    </w:p>
    <w:p>
      <w:r>
        <w:rPr>
          <w:b/>
        </w:rPr>
        <w:t xml:space="preserve">Quelle: </w:t>
      </w:r>
      <w:r>
        <w:t>https://mcp.opencaselaw.ch/entscheid/bvger_C-998_2018</w:t>
      </w:r>
    </w:p>
    <w:p>
      <w:r>
        <w:t>FR: TAF C-998/2018 du 19 décembre 2019</w:t>
      </w:r>
    </w:p>
    <w:p>
      <w:r>
        <w:t>IT: TAF C-998/2018 del 19 dicembre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15. Januar 2018 zur Erhebung der Beschwerde legitimiert (Art. 48 Abs. 1 VwVG; Art. 59 ATSG [SR 830.1]). Nachdem der Kostenvorschuss von Fr. 800.- rechtzeitig geleistet wurde (BVGer act. 10), ist auf die frist- und formgerecht eingereichte Beschwerde vom 16. Februar 2018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15. Januar 2018)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Im Verhältnis Schweiz - Liechtenstein, das heisst bei (ehemaliger oder aktueller) Erwerbstätigkeit in der Schweiz und Wohnsitz in Liechtenstein - ist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Nach Art. 1 Anhang K-Anlage 2 sind die Mitgliedstaaten übereingekommen, im Bereich der Koordinierung der Systeme der sozialen Sicherheit untereinander die Rechtsakte der Europäischen Union anzuwenden. Bis zum 31. Dezember 2015 waren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Verordnung vom 17. Januar 1961 über die Invalidenversicherung (IVV, SR 831.201), dem ATSG sowie der entsprechenden Verordnung vom 11. September 2002 (ATSV, SR 830.11;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15. Januar 2018 in Kraft standen, weiter aber auch Vorschriften, die zu jenem Zeitpunkt bereits ausser Kraft getreten waren, die aber für die Beurteilung allenfalls früher entstandener Leistungsansprüche von Belang sind.</w:t>
      </w:r>
    </w:p>
    <w:p>
      <w:r>
        <w:rPr>
          <w:b/>
        </w:rPr>
        <w:t>E. 3</w:t>
      </w:r>
    </w:p>
    <w:p>
      <w:r>
        <w:t>In formeller Hinsicht machte die Beschwerdeführerin eine Verletzung des rechtlichen Gehörs geltend, in dem sie eine mangelhafte Begründung der angefochtenen Verfügung monierte.</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3.2</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3.3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138 I 232 E. 5.1 m.H.).</w:t>
      </w:r>
    </w:p>
    <w:p>
      <w:r>
        <w:rPr>
          <w:b/>
        </w:rPr>
        <w:t>E. 3.4</w:t>
      </w:r>
    </w:p>
    <w:p>
      <w:r>
        <w:t>In der Verfügung vom 15. Januar 2018 führte die Vorinstanz einen Einkommensvergleich durch, der - ausgehend von der gutachterlich attestierten vollen Arbeitsfähigkeit - eine Erwerbseinbusse bzw. einen Invaliditätsgrad von 0 % ergab. Sie führte weiter aus, dass sie Dr. D._______ mit dem Einwand vom 27. Juli 2017 konfrontiert habe. Die Einwände seien durch das entsprechende Antwortschreiben der Gutachterin vom 27. Oktober 2017 sowie eine RAD-Stellungnahme vom 18. Dezember 2017 plausibel ausgeräumt worden. Das Antwortschreiben und die RAD-Stellungnahme seien der Beschwerdeführerin mit separater Post zugestellt worden und würden einen «integrierenden Bestandteil zu den Einwänden darstellen» (act. 160). Damit hat die Vorinstanz in ihrer Verfügung wenigstens kurz die für ihren Entscheid wesentlichen Punkte angeführt. Der Verweis auf das übermittelte Antwortschreiben von Dr. D._______ vom 27. Oktober 2017 ist nicht zu beanstanden (act. 153). Nach dem Gesagten wurde im vorliegenden Fall die aus dem Anspruch auf rechtliches Gehör fliessende Begründungspflicht nicht verletzt.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Im Folgenden ist zu prüfen, ob die Vorinstanz einen Invalidenrentenanspruch der Beschwerdeführerin mit der angefochtenen Verfügung zu Recht abgewiesen hat.</w:t>
      </w:r>
    </w:p>
    <w:p>
      <w:r>
        <w:rPr>
          <w:b/>
        </w:rPr>
        <w:t>E. 5.1</w:t>
      </w:r>
    </w:p>
    <w:p>
      <w:r>
        <w:t>Die Beschwerdeführerin wurde im IV-Verfahren zweimal psychiatrisch abgeklärt. Beide Gutachter, sowohl Dr. C._______ als auch Dr. D._______, diagnostizierten eine Neurasthenie sowie akzentuierte Persönlichkeitszüge und attestieren ihr eine volle Arbeitsfähigkeit. Zur Darstellung des Gesundheitszustands und der gutachterlichen Einschätzung werden nachfolgend einige Auszüge aus dem Gutachten von Dr. D._______ wiedergegeben.</w:t>
      </w:r>
    </w:p>
    <w:p>
      <w:r>
        <w:rPr>
          <w:b/>
        </w:rPr>
        <w:t>E. 5.1.1</w:t>
      </w:r>
    </w:p>
    <w:p>
      <w:r>
        <w:t>Dr. D._______, Fachärztin für Psychiatrie, führte im Gutachten vom 1. Mai 2017 Folgendes aus (act. 142, Seite 48, 49): «Im heutigen Explorationsgespräch zeigt sich eine zu Beginn unsichere und unruhig wirkende Versicherte. Sie gibt bei Begrüssung nicht die Hand und verweist auf ihre Unfähigkeit, andere Menschen zu berühren. Im Verlauf des Untersuchungsgesprächs fasst sie mehr Vertrauen, wirkt schwingungsfähiger und macht gegen Ende sogar einen Witz. Sie berichtet von einer ausgeprägten Erschöpfung, Kraftlosigkeit, Leere und Sinnlosigkeit des Lebens. Sie klagt über eine vermehrte Müdigkeit nach jeglicher Anstrengung und Aktivität. Sie beschreibt eine reduzierte Konzentration und eine Vergesslichkeit. Sie klagt über ausgeprägte innere Spannungen, Ängste und Panikattacken. Sie beschreibt ihre derzeitige Stimmungslage anders als 2012, als sie ein Burnout gehabt habe. Sie beschreibt, gut aus dem Bett zu kommen, doch fehle ihr die Kraft, in die Aktivität zu gelangen. Es wird kein wirklicher episodischer Verlauf von Stimmungseinbrüchen beschrieben, sondern (die Versicherte) berichtet, dass es ihr durchgehend schlecht geht. Sie fühlt sich mit Kleinigkeiten überfordert. Eine rezidivierende depressive Störung kann gegenwärtig nicht gestellt werden, da keine isolierten depressiven Episoden im Krankheitsverlauf auftraten, sondern eine immer gleichbleibende Erschöpfung beschrieben wird. Die Unfähigkeit etwas zu machen, verändert sich im Beisein von Dritten, so dass in diesem Rahmen Tätigkeiten durchaus möglich sind. Die Kraftlosigkeit und Erschöpfung tritt nicht situationsunabhängig auf und wird vor allem für den beruflichen Bereich geltend gemacht. Die Diagnose einer depressiven Episode kann aus diesen Gründen im Moment nicht gestellt werden. Ich sehe die beklagten Beschwerden am ehesten im Rahmen eine Neurasthenie. Laut ICD-10 ist bei der einen Form der Neurasthenie das Hauptcharakteristikum die Klage über eine vermehrte Müdigkeit nach geistiger Anstrengung, die häufig mit einer abnehmenden Leistungsminderung oder -effektivität bei der Bewältigung täglicher Aufgaben einhergeht. Die geistige Ermüdbarkeit wird teilweise als unangenehmes Eindringen ablenkender Assoziationen oder Erinnerungen beschrieben, als Konzentrationsschwäche und allgemein uneffektives Denken. Bei der zweiten Hauptform der Neurasthenie liegt das Schwergewicht auf Gefühlen körperlicher Schwächen und Erschöpfung nach nur geringen Anstrengungen, begleitet von muskulären oder anderen Schmerzen und der Unfähigkeit, sich zu entspannen. Bei beiden Typen finden sich eine ganze Reihe von anderen unangenehmen körperlichen Empfindungen wie Schwindelgefühl, Spannungskopfschmerzen, Gefühlen einer allgemeinen Unsicherheit, Sorge über abnehmendes geistiges oder körperliches Wohlbefinden, Reizbarkeit, Freudlosigkeit und unterschiedliche, leichte Grade von Depression und Ängsten. Um eine Neurasthenie diagnostizieren zu dürfen, müssen laut ICD-10 differenzialdiagnostisch eine depressive Erkrankung oder eine Angststörung ausgeschlossen werden. Eine Depression kann (...) differenzialdiagnostisch ausgeschlossen werden. Auch eine Angststörung kann ausgeschlossen werden, da ein ständiges Angstgefühl zwar beschrieben wird, das Fehlen eines sofort nutzbaren Fluchtwegs als Schlüsselsituation nicht angegeben wird und nicht zu einer Reduktion des Angstgefühls führt. Es wird auch nicht wirklich eine spezifische Phobie angegeben, sondern sie beschreibt ein ständiges Angstgefühl und eine erhöhte innere Anspannung beim Kochen, Duschen, Briefkasten leeren. Sie kann durchaus regelmässig öffentliche Verkehrsmittel alleine benutzen oder auch ohne Begleitung einkaufen gehen, wenn Frau G._______ sie nicht begleitet. Sie beschreibt, dass sie das Einkaufengehen immer beenden konnte, ohne vorzeitig fluchtartig das Geschäft verlassen zu müssen, so dass die Vermeidung als entscheidendes Symptom nur ungenügend intensiv vorliegt. (Die Versicherte) zeigt zwar ein Vermeidungsverhalten, doch beschreibt sie als Ursache des Vermeidungsverhaltens ihre Erschöpfung, die im Vordergrund steht.»</w:t>
      </w:r>
    </w:p>
    <w:p>
      <w:r>
        <w:rPr>
          <w:b/>
        </w:rPr>
        <w:t>E. 5.1.2</w:t>
      </w:r>
    </w:p>
    <w:p>
      <w:r>
        <w:t>Dr. D._______ führte weiter Folgendes aus (act. 142, Seite 51, 52): «Es zeigen sich anankastische Persönlichkeitszüge (...), histrionische (...) und auch abhängige Persönlichkeitszüge (...). Diese (...) dysfunktionalen persönlichkeitsstrukturellen Verhaltensmuster und Besonderheiten, die in der ICD-10 im Kapitel F6 für Persönlichkeitsstörungen beschrieben werden, lagen nur einige wenige bei der Explorandin vor. Die erforderlichen Kriterien für das Vorliegen einer voll ausgebildeten kombinierten Persönlichkeitsstörung konnten aus gutachterlicher Sicht bei der Explorandin nicht bestätigt werden. Die Störung umfasst nicht tief verwurzelte, anhaltende Verhaltensmuster, die sich in starren Reaktionen auf unterschiedliche persönliche und soziale Lebenslagen zeigen. Sie konnte über viele Jahre eine konstante Arbeitsleistung halten und hatte mehrere lange Arbeitsverhältnisse. Über viele Jahre waren diese nur auf wenige Lebensbereiche konzentriert und waren auch nicht so stark ausgeprägt, dass diese zu einer anhaltenden, gestörten sozialen Funktions- und Leistungsfähigkeit geführt haben. Ich stelle daher die Diagnose akzentuierter Persönlichkeitszüge. Diese werden im Kapitel Z der ICD-10 kodiert, also als Zusatzdiagnose. Diese akzentuierten Persönlichkeitszüge müssen besonders bei der Psychotherapie bei der Besprechung des individuellen Krankheitsmodells beachtet werden.»</w:t>
      </w:r>
    </w:p>
    <w:p>
      <w:r>
        <w:rPr>
          <w:b/>
        </w:rPr>
        <w:t>E. 5.1.3</w:t>
      </w:r>
    </w:p>
    <w:p>
      <w:r>
        <w:t>Dr. D._______ führte weiter aus, «in adaptierten, einfachen und angelernten Tätigkeiten, die (der Versicherten) mit ihrer Ausbildung zugemutet werden können, ist aus rein psychiatrischer Sicht von einer Arbeitsunfähigkeit von 0 % auszugehen. Als ideal adaptierte Tätigkeiten sind medizintheoretisch die angestammte Tätigkeit und andere Tätigkeiten, die dem Ausbildungsstand der Versicherten entsprechen, zu nennen. (Die Versicherte) benötigt ein wohlwollendes, verständnisvolles Arbeitsumfeld, ge-regelte Arbeitszeiten, gleichbleibende Arbeitsbelastung, um Stress- und Frustrationstoleranz und die emotionale Belastbarkeit gering halten zu können. Auch sind ungeregelte Arbeitszeiten, häufige Überstunden, Schichtarbeiten, Wochenend- und Nachtarbeiten ungünstig. (...). Als therapeutische Option ist die Fortführung einer adäquaten psychiatrisch-psychotherapeutischen Behandlung zu empfehlen. Die derzeitige psychotherapeutische Behandlung ist zu überdenken, insbesondere, da die Kosten der Psychotherapie nicht von der Grundversicherung übernommen werden, der Anfahrtsweg kostspielig und zeitintensiv ist. Günstig wäre eine ambulante psychotherapeutische Behandlung, die die Ressourcen der Versicherten weiter ausbaut und der Regression und Dekonditionierung entgegenwirkt. Die Neuevaluation und Optimierung der psychopharmakologischen Medikation ist zu empfehlen» (act. 142, Seite 55, 56).</w:t>
      </w:r>
    </w:p>
    <w:p>
      <w:r>
        <w:rPr>
          <w:b/>
        </w:rPr>
        <w:t>E. 5.2</w:t>
      </w:r>
    </w:p>
    <w:p>
      <w:r>
        <w:t>Dr. C._______, der die Versicherte am 21. Juli 2015 untersucht hatte, führte in seinem Gutachten in teils ähnlicher Weise Folgendes aus (act. 67, Seite 23): «Die Beschwerdeangaben in den Berichten sind nicht besonders anschaulich. Und ergeben eher ein buntes Bild, jedenfalls nicht eine Bild, das zu einer typischen depressiven Episode passt oder zu einer endo-genomorphen Depression. Auch ein typischer episodenhafter Verlauf ist den Berichten nicht zu entnehmen und auch nicht den jetzigen Schilderungen der Explorandin, so dass ich Zweifel am Vorliegen einer rezidivierenden depressiven Störung habe. Ich habe auch Zweifel am Vorliegen einer posttraumatischen Belastungsstörung, der Diagnose, die im IV-Bericht des Landeskrankenhauses F._______ vom 26. Mai 2015 genannt ist. Der Nachweis eines entsprechenden Traumas und von für diese Diagnose qualifizierten Befunden gelang jetzt nicht. (...). Ich bin nicht überzeugt, dass alles, was die Explorandin geltend macht, tatsächlich so auch vorhanden ist. Und ich habe keine medizinischen Gründe nachweisen können, warum die objektivierbaren Beschwerden und Symptome bei gutem Willen und zumutbarer Anstrengung nicht überwunden oder kompensiert werden könnten. Objektivierbare Funktionseinschränkung habe ich nicht nachgewiesen. Nachvollziehbar ist aber, dass die Explorandin in der Emotionsregulation eingeschränkt ist. Das bewirkt, dass sie auf belastende Situationen in der Arbeit, z. B. Konflikte in der Arbeit, schneller mit Stress reagiert. Aber diese Einschränkung ist zu gering, um eine relevante Minderung der Arbeitsfähigkeit zu ergeben.»</w:t>
      </w:r>
    </w:p>
    <w:p>
      <w:r>
        <w:rPr>
          <w:b/>
        </w:rPr>
        <w:t>E. 5.3</w:t>
      </w:r>
    </w:p>
    <w:p>
      <w:r>
        <w:t>Die psychiatrischen Gutachter von Dr. C._______ (act. 67) und Dr. D._______ sind für die streitigen Belange umfassend, beruhen auf allseitigen Untersuchungen, berücksichtigen die geklagten Beschwerden, sind beide in Kenntnis der Vorakten (Anamnese) abgegeben worden, leuchten in der Darlegung der medizinischen Zusammenhänge und in der Beurteilung der medizinischen Situation ein und enthalten begründete Schlussfolgerungen der Experten, die miteinander vereinbar sind. Ihren fachärztlichen Gutachten kommt - wie in der Erwägung 4.4 dargelegt - volle Beweiskraft zu, solange nicht konkrete Indizien gegen die Zuverlässigkeit der Expertise sprechen (vgl. BGE 125 V 351 E. 3b/bb).</w:t>
      </w:r>
    </w:p>
    <w:p>
      <w:r>
        <w:rPr>
          <w:b/>
        </w:rPr>
        <w:t>E. 5.4</w:t>
      </w:r>
    </w:p>
    <w:p>
      <w:r>
        <w:t>Zu den Einwänden der Beschwerdeführerin ist Folgendes festzuhalten:</w:t>
      </w:r>
    </w:p>
    <w:p>
      <w:r>
        <w:rPr>
          <w:b/>
        </w:rPr>
        <w:t>E. 5.4.1</w:t>
      </w:r>
    </w:p>
    <w:p>
      <w:r>
        <w:t>Zunächst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Urteile des BGer 9C_794/2012 vom 4. März 2013 E. 4.2 und 9C_564/2016 vom 24. November 2016 E. 3.1; BGE 137 V 210 E. 3.4.2.3). Dies gilt im vorliegenden Fall insbesondere mit Blick auf die geltend gemachte posttraumatische Belastungsstörung aufgrund der einschneidenden biographischen Ereignisse (zwei sexuelle Übergriffe im Alter von 10 und 16 Jahren sowie eine unglückliche Beziehung zum Vater; vgl. act. 142, Seite 40; vgl. auch 67, Seite 8). Dr. D._______ verneinte diese Diagnose nach einlässlicher Prüfung der erforderlichen Kriterien nach DSM V (act. 142, Seite 49 ff.), Dr. C._______ stellte sie ebenfalls nicht. Nachdem die beiden Gutachter «lege artis» vorgegangen und ihre Schlussfolgerungen - entgegen der Auffassung der Beschwerdeführerin (BVGer act. 1, 12) - auch nachvollziehbar begründet sind, ist deren Interpretation zu respektieren. Zudem ist zu berücksichtigen, dass sich der medizinische Behandlungsauftrag und der Abklärungsauftrag unterscheiden. Der behandelnde Psychotherapeut oder Psychiater ist bestrebt, zu verhindern, dass das Vertrauensverhältnis zu seinem Patienten gestört wird, wodurch der Behandlungserfolg erschwert oder gar verunmöglicht würde. Der Arzt als Experte übernimmt demgegenüber die Pflicht, den Gesundheitszustand des Exploranden objektiv und unparteilich zu beurteilen (Urteil des BGer I 762/06 vom 26. Juli 2007 E. 3.3). Anders als der Behandler darf der Gutachter einer IV-Leistungsgesuchstellerin mit den Worten von Dr. C._______ keinen «Vertrauensvorschuss» gewähren (act. 67, Seite 23). Die Validierung des Dargestellten und die kritische Hinterfragung der Selbstdarstellung haben ( - zumal wenn der Experte «lege artis» vorgeht - ) in der Begutachtungssituation einen ungleich höheren Stellenwert als in einer Behandlungssituation auf Grundlage eines Mandats. Beachtlich ist weiter, dass es der Beschwerdeführerin trotz der besagten einschneidenden biographischen Ereignisse möglich war, eine Lehre als Fotolaborantin zu absolvieren und langjährig als «Mitarbeiterin der Druckvorstufe» bzw. «Polygraphin» tätig zu sein (vgl. auch die Ausführungen der IV-Stelle B._______ in BVGer act. 4). Dies spricht für das gutachterlich attestierte Leistungsvermögen. Soweit mit der finanziellen Bedürftigkeit und mit der schwierigen Beziehung zum volljährigen Sohn eine psychosoziale Belastungssituation auch aktuell fortbesteht, muss diese vom IV-relevanten psychischen Gesundheitsschaden abgegrenzt werden. Der in diesem Zusammenhang angebrachte Hinweis der Beschwerdeführerin auf das Urteil des BGer 9C_492/2014 vom 3. Juni 2015 E. 3.4.2.1 vermag die zweifache gutachterliche Einschätzung nicht in Zweifel zu ziehen (BVGer act. 12, Seite 5).</w:t>
      </w:r>
    </w:p>
    <w:p>
      <w:r>
        <w:rPr>
          <w:b/>
        </w:rPr>
        <w:t>E. 5.4.2</w:t>
      </w:r>
    </w:p>
    <w:p>
      <w:r>
        <w:t>Als nicht stichhaltig erweisen sich weiter die Rügen zur Würdigung der Depression und der «Polypharmazie» (BVGer act. 1). Wie sich aus den zitierten Stellen der Gutachten von Dr. C._______ und Dr. D._______ ergibt, wurde eine Depression (Störung und Episode) mit nachvollziehbaren Argumenten verneint. Darauf ist zu verweisen. Der Medikamenten-konsum der Beschwerdeführerin wurde - jeweils auch mit einer Labor-untersuchung - abgeklärt (act. 67, Seite 13, 14, 17, 27; act. 142, Seite 40, 43, 59). Dr. D._______ hat in ihrem Gutachten einen Optimierungsbedarf am gegenwärtigen Therapiesetting aufgezeigt (act. 142, Seite 55, 56) und im Schreiben vom 27. Oktober 2017 nochmals zur wahrscheinlich unregelmässigen Medikamenteneinnahme dezidiert Stellung genommen (act. 153). Die Gutachten von Dr. C._______ und Dr. D._______ genügen (auch) insofern den geltenden beweisrechtlichen Anforderungen, weshalb darauf abzustellen ist. Entgegen den Ausführungen der Beschwerdeführerin liegen keine konkreten Indizien vor, die gegen die Zuverlässigkeit der beiden psychiatrischen Expertisen sprechen würden.</w:t>
      </w:r>
    </w:p>
    <w:p>
      <w:r>
        <w:rPr>
          <w:b/>
        </w:rPr>
        <w:t>E. 5.4.3</w:t>
      </w:r>
    </w:p>
    <w:p>
      <w:r>
        <w:t>Eine weitere Abklärung, wie sie die Beschwerdeführerin mit einer stationären Begutachtung fordert, erübrigt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5.4.4</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die Beweiswürdigung wie im vorliegenden Fall, dass keine Einschränkung der Arbeitsfähigkeit vorliegt, hat die versicherte Person, welche einen Rentenanspruch geltend gemacht hat, die Folgen der Beweislosigkeit zu tragen (vgl. URS MÜLLER, Das Verwaltungsverfahren in der Invalidenversicherung, Bern 2010, S. 292, Rz. 1536 ff.).</w:t>
      </w:r>
    </w:p>
    <w:p>
      <w:r>
        <w:rPr>
          <w:b/>
        </w:rPr>
        <w:t>E. 6</w:t>
      </w:r>
    </w:p>
    <w:p>
      <w:r>
        <w:t>Zusammenfassend ist festzuhalten, dass sich die Beschwerde als unbegründet erweist, weshalb sie abgewiesen wird.</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