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C-994/2021 vom 12. Mai 2022</w:t>
      </w:r>
    </w:p>
    <w:p>
      <w:r>
        <w:t>Bundesverwaltungsgericht, 2022-05-12, DE</w:t>
      </w:r>
    </w:p>
    <w:p>
      <w:r>
        <w:rPr>
          <w:b/>
        </w:rPr>
        <w:t xml:space="preserve">Quelle: </w:t>
      </w:r>
      <w:r>
        <w:t>https://mcp.opencaselaw.ch/entscheid/bvger_C-994_2021</w:t>
      </w:r>
    </w:p>
    <w:p>
      <w:r>
        <w:t>FR: TAF C-994/2021 du 12 mai 2022</w:t>
      </w:r>
    </w:p>
    <w:p>
      <w:r>
        <w:t>IT: TAF C-994/2021 del 12 maggio 2022</w:t>
      </w:r>
    </w:p>
    <w:p>
      <w:pPr>
        <w:pStyle w:val="Heading2"/>
      </w:pPr>
      <w:r>
        <w:t>Regeste</w:t>
      </w:r>
    </w:p>
    <w:p>
      <w:r>
        <w:t>Rente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w:t>
      </w:r>
    </w:p>
    <w:p>
      <w:r>
        <w:t>C-994/2021 Seite 5 metatbestand erfüllt ist (Art. 31 und 32 des Bundesgesetzes über das Bun- desverwaltungsgericht vom 17. Juni 2005 [VGG; SR 172.32]). Zulässig sind Beschwerden gegen Verfügungen von Vorinstanzen gemäss Art. 33 VGG. Die SAK ist eine Vorinstanz im Sinn von Art. 33 Bst. d VGG (vgl. auch Art. 85bis Abs. 1 Bst. b AHVG). Eine Ausnahme nach Art. 32 VGG liegt nicht vor. Das Bundesverwaltungsgericht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ATSG anwendbar ist. Nach Art. 2 des ATSG finden die Bestimmungen des ATSG Anwendung, soweit die einzelnen Sozialversicherungsgesetze des Bundes dies vorse- hen. Nach Art. 1 Abs. 1 AHVG sind die Bestimmungen des ATSG auf die im ersten Teil geregelte Alters- und Hinterlassenenversicherung anwend- bar, soweit das AHVG nicht ausdrücklich eine Abweichung vom ATSG vor- sieht.</w:t>
      </w:r>
    </w:p>
    <w:p>
      <w:r>
        <w:rPr>
          <w:b/>
        </w:rPr>
        <w:t>E. 1.3</w:t>
      </w:r>
    </w:p>
    <w:p>
      <w:r>
        <w:t>Als direkte Adressatin ist die Beschwerdeführerin vom angefochtenen Einspracheentscheid vom 28. Januar 2021 (act. II 8) besonders berührt und sie kann sich auf ein schutzwürdiges Interesse an dessen Aufhebung oder Änderung berufen (Art. 59 ATSG; Art. 48 Abs. 1 VwVG). Sie ist zur Beschwerde legitimiert. Auf die im Übrigen frist- und formgerecht einge- reichte Beschwerde (Art. 60 ATSG; Art. 50 Abs. 1 und Art. 52 Abs. 1 VwVG)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 rungsprozess hat das Gericht seinen Entscheid, sofern das Gesetz nicht etwas Abweichendes vorsieht, nach dem Beweisgrad der überwiegenden</w:t>
      </w:r>
    </w:p>
    <w:p>
      <w:r>
        <w:t>C-994/2021 Seite 6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360 E. 5b und 125 V 195 E. 2, je mit Hinweisen).</w:t>
      </w:r>
    </w:p>
    <w:p>
      <w:r>
        <w:rPr>
          <w:b/>
        </w:rPr>
        <w:t>E. 1.6</w:t>
      </w:r>
    </w:p>
    <w:p>
      <w:r>
        <w:t>Anfechtungsobjekt und damit Begrenzung des Streitgegenstandes des vorliegenden Beschwerdeverfahrens (vgl. BGE 131 V 164 E. 2.1) bildet der angefochtene Einspracheentscheid vom 28. Januar 2021 (act. II 8), mit welchem die Vorinstanz den Anspruch der Beschwerdeführerin auf eine Witwenrente abgewiesen hat. Streitig und zu prüfen ist die Rechtmässig- keit dieses Entscheids und in diesem Zusammenhang insbesondere, ob das Konkubinat der Beschwerdeführerin mit ihrem verstorbenen Eheman- nes an die fünfjährige Ehedauer anzurechnen ist.</w:t>
      </w:r>
    </w:p>
    <w:p>
      <w:r>
        <w:rPr>
          <w:b/>
        </w:rPr>
        <w:t>E. 2</w:t>
      </w:r>
    </w:p>
    <w:p>
      <w:r>
        <w:t>Im Folgenden sind die weiteren, im vorliegenden Verfahren im Wesentli- chen anwendbaren Normen und Rechtsgrundsätze darzustellen.</w:t>
      </w:r>
    </w:p>
    <w:p>
      <w:r>
        <w:rPr>
          <w:b/>
        </w:rPr>
        <w:t>E. 2.1</w:t>
      </w:r>
    </w:p>
    <w:p>
      <w:r>
        <w:t>In zeitlicher Hinsicht sind grundsätzlich diejenigen Rechtssätze mass- geblich, die bei der Erfüllung des zu Rechtsfolgen führenden Tatbestandes Geltung haben (BGE 143 V 446 E. 3.3; 139 V 335 E. 6.2; 138 V 475 E. 3.1; BGE 134 V 315 E. 1.2; BGE 130 V 329 E. 2.3). Deshalb finden vorliegend die Vorschriften Anwendung, die spätestens beim Erlass des Einsprache- entscheids vom 28. Januar 2021 (act. II 8) in Kraft standen; weiter aber auch solche, die zu jenem Zeitpunkt bereits ausser Kraft getreten waren, die aber für die Beurteilung allenfalls früher entstandener Leistungsansprü- che von Belang sind. Die Frage, ob die SAK den Anspruch auf eine Wit- wenrente zurecht abgewiesen hat, beurteilt sich grundsätzlich nach den im September 2020 (Hinschied von C._______; act. I 42 und 45) gültigen Bestimmungen des AHVG und der Verordnung vom 31. Oktober 1947 über die Alters- und Hinterlassenenversicherung (AHVV, SR 831.101) laut den Bestimmungen gemäss der 10. AHV-Revision (Übergangsbestimmungen der 10. AHV-Revision).</w:t>
      </w:r>
    </w:p>
    <w:p>
      <w:r>
        <w:rPr>
          <w:b/>
        </w:rPr>
        <w:t>E. 2.2</w:t>
      </w:r>
    </w:p>
    <w:p>
      <w:r>
        <w:t>Die Beschwerdeführerin ist Staatsangehörige von Bosnien und Herze- gowina und hat dort ihren Wohnsitz. Vorliegend findet demnach aufgrund des Hinschieds von C._______ im September 2020 das Abkommen vom 8. Juni 1962 zwischen der Schweizerischen Eidgenossenschaft und der Föderativen Volksrepublik Jugoslawien über Sozialversicherung (nachfol-</w:t>
      </w:r>
    </w:p>
    <w:p>
      <w:r>
        <w:t>C-994/2021 Seite 7 gend: Sozialversicherungsabkommen, SR 0.831.109.818.1) sowie die ent- sprechende Verwaltungsvereinbarung vom 5. Juli 1963 betreffend die Durchführung des Abkommens (SR 0.831.109.818.12) Anwendung. Nach Art. 2 dieses Abkommens stehen die Staatsangehörigen der Vertragsstaa- ten in ihren Rechten und Pflichten aus den in Art. 1 genannten Rechtsvor- schriften, zu welchen die schweizerische Bundesgesetzgebung über die AHV gehört, einander gleich, soweit nichts anderes bestimmt ist. Da das Abkommen keine abweichenden Bestimmungen enthält, richtet sich die Ausgestaltung des Verfahrens sowie die Prüfung der Voraussetzungen für einen Rentenanspruch allein nach den schweizerischen Rechtsvorschrif- ten (Art. 4 des Abkommens). Daran hat das am 1. Oktober 2018 abge- schlossene und am 1. September 2021 in Kraft getretene Abkommen zwi- schen der Schweizerischen Eidgenossenschaft und Bosnien und Herzego- wina über Soziale Sicherheit (SR 0.831.109.191.1) nichts geändert (vgl. Art. 2 in Verbindung mit Art. 4 Abs. 1 dieses neuen Abkommens).</w:t>
      </w:r>
    </w:p>
    <w:p>
      <w:r>
        <w:rPr>
          <w:b/>
        </w:rPr>
        <w:t>E. 2.3</w:t>
      </w:r>
    </w:p>
    <w:p>
      <w:r>
        <w:t>Anspruch auf eine Witwen- oder Witwerrente haben Witwen oder Wit- wer, sofern sie im Zeitpunkt der Verwitwung Kinder haben (Art. 23 Abs. 1 AHVG). Kindern von Witwen oder Witwern sind gleichgestellt Kinder des verstorbenen Ehegatten, die im Zeitpunkt der Verwitwung mit der Witwe oder dem Witwer im gemeinsamen Haushalt leben und von ihr oder ihm als Pflegekinder im Sinne von Art. 25 Abs. 3 AHVG aufgenommen werden (Art. 23 Abs. 2 Bst. a AHVG) sowie Pflegekinder im Sinne von Art. 25 Abs. 3, die im Zeitpunkt der Verwitwung mit der Witwe oder dem Witwer im gemeinsamen Haushalt leben und von ihr oder ihm adoptiert werden (Art. 23 Abs. 2 Bst. b AHVG).</w:t>
      </w:r>
    </w:p>
    <w:p>
      <w:r>
        <w:rPr>
          <w:b/>
        </w:rPr>
        <w:t>E. 2.4</w:t>
      </w:r>
    </w:p>
    <w:p>
      <w:r>
        <w:t>Witwen haben überdies Anspruch auf eine Witwenrente, wenn sie im Zeitpunkt der Verwitwung keine Kinder oder Pflegekinder im Sinne von Art. 23 AHVG, jedoch das 45. Altersjahr vollendet haben und mindestens fünf Jahre verheiratet gewesen sind. War die Witwe mehrmals verheiratet, so wird auf die Gesamtdauer der Ehen abgestellt (Art. 24 Abs. 1 AHVG).</w:t>
      </w:r>
    </w:p>
    <w:p>
      <w:r>
        <w:rPr>
          <w:b/>
        </w:rPr>
        <w:t>E. 3.1</w:t>
      </w:r>
    </w:p>
    <w:p>
      <w:r>
        <w:t>Unstreitig ist vorliegend, dass die Beschwerdeführerin im Zeitpunkt der Verwitwung keine Kinder bzw. Pflegekinder hatte (act. II 1 Ziffer 4.1), die 1993 geborenen Zwillinge des verstorbenen Ehegatten (act. I 2 S. 3) im Zeitpunkt der Verwitwung nicht mit der Beschwerdeführerin im gemeinsa- men Haushalt lebten und von ihr als Pflegekinder aufgenommen wurden sowie dass keine sonstigen Pflegekinder im Sinne von Art. 25 Abs. 3</w:t>
      </w:r>
    </w:p>
    <w:p>
      <w:r>
        <w:t>C-994/2021 Seite 8 AHVG, die im Zeitpunkt der Verwitwung mit der Beschwerdeführerin im ge- meinsamen Haushalt lebten und von ihr adoptiert wurden, existieren. Unter diesen Umständen sind die Voraussetzungen für eine Witwenrente ge- mäss Art. 23 Abs. 1 AHVG und Art. 23 Abs. 2 Bst. a und b AHVG nicht erfüllt.</w:t>
      </w:r>
    </w:p>
    <w:p>
      <w:r>
        <w:rPr>
          <w:b/>
        </w:rPr>
        <w:t>E. 3.2</w:t>
      </w:r>
    </w:p>
    <w:p>
      <w:r>
        <w:t>Mit Blick auf die Voraussetzungen des Art. 24 Abs. 1 AHVG ist festzu- stellen, dass die am 6. Oktober 1956 geborene (act. II 1 Ziffer 2) Beschwer- deführerin im Zeitpunkt der Verwitwung am 25. September 2020 (act. I 42 und 45) zwar das 45. Altersjahr vollendet hatte. Jedoch war sie mit ihrem verstorbenen Ehemann nur vom 8. Dezember 2016 bis zu dessen Todes- tag am 25. September 2020 (act. I 42 und 45 und act. II 1 Ziffer 2.4) und somit weniger als fünf Jahre verheiratet. Eine frühere Ehe, welche zur nö- tigen Gesamtdauer der Ehen von fünf Jahren hinzuzurechnen wäre, be- stand offenbar nicht (act. II 1 Ziffer 3.1 ff) und wird von der Beschwerdefüh- rerin auch nicht geltend gemacht. Demnach vermag diese auch die An- spruchsvoraussetzung von Art. 24 Abs. 1 AHVG nicht zu erfüllen.</w:t>
      </w:r>
    </w:p>
    <w:p>
      <w:r>
        <w:rPr>
          <w:b/>
        </w:rPr>
        <w:t>E. 3.3</w:t>
      </w:r>
    </w:p>
    <w:p>
      <w:r>
        <w:t>Die Beschwerdeführerin vertrat die Auffassung, dass sie mit ihrem ver- storbenen Ehemann bereits von 2013 bis zur Heirat am 8. Dezember 2016 in einer ausserehelichen Gemeinschaft und somit als "Ehepaar" länger als fünf Jahre zusammengelebt habe, weshalb ihr Anspruch auf eine Witwen- rente zu bejahen sei.</w:t>
      </w:r>
    </w:p>
    <w:p>
      <w:r>
        <w:rPr>
          <w:b/>
        </w:rPr>
        <w:t>E. 3.3.1</w:t>
      </w:r>
    </w:p>
    <w:p>
      <w:r>
        <w:t>Gemäss bundesgerichtlicher Rechtsprechung ist die fünfjährige Ehe- dauer eine vom Gesetzgeber gewollte Voraussetzung, deren vollständige Erfüllung Anspruchsvoraussetzung für die Entstehung der Witwenrente ge- stützt auf Art. 24 Abs. 1 AHVG ist (Urteil des BGer 9C_293/2012 vom 22. August 2012 E. 4; nicht publiziertes Urteil des Eidgenössischen Versi- cherungsgerichts [EVG; seit 1. Januar 2007: Sozialrechtliche Abteilungen des Bundesgerichts] vom 1. März 1978, zit. in BGE 115 V 77 E. 4c).</w:t>
      </w:r>
    </w:p>
    <w:p>
      <w:r>
        <w:rPr>
          <w:b/>
        </w:rPr>
        <w:t>E. 3.3.2</w:t>
      </w:r>
    </w:p>
    <w:p>
      <w:r>
        <w:t>Mit Blick auf die vorstehend dargelegte bundesgerichtliche Praxis kann nicht daran angeknüpft werden, ob im Zeitpunkt der Verwitwung eine häusliche Gemeinschaft von fünf (oder mehr) Jahren Dauer (ungeachtet dessen, ob ehelicher oder eheähnlicher Art) vorgelegen hat. Das Bundes- gericht hielt im Entscheid 9C_413/2015 vom 2. Mai 2016 in Erwägung 4.2 ausdrücklich daran fest, dass die Voraussetzungen des Art. 24 Abs. 1 AHVG dem Wortlaut entsprechend am zivilrechtlichen Begriff der Ehe und der eingetragenen Partnerschaft (Art. 13a Abs. 1 ATSG) anknüpfe, was im</w:t>
      </w:r>
    </w:p>
    <w:p>
      <w:r>
        <w:t>C-994/2021 Seite 9 Rahmen einer durch den Gesetzgeber konsequent verwirklichten Bevorzu- gung dieser Institute gegenüber dem Konkubinat zu sehen sei. Mit anderen Worten verwarf es die Anrechnung der Dauer eines Konkubinats an die Ehedauer gemäss Art. 24 Abs. 1 AHVG in Bestätigung des Urteils des BVGer C-1225/2014 vom 8. Mai 2015 (vgl. auch E. 4.4). Dabei stützte sich das Bundesgericht auf das im Jahr 2013 ergangene Leiturteil BGE 140 I 77 E. 6.2 ff.. Darin nahm das Bundesgericht eine Gesamtbetrachtung des Sozialversicherungssystems vor und erklärte die im Gesamtsystem vorge- sehenen Bevorzugungen von Ehepaaren – denen auch Benachteiligun- gen, wie etwa die im konkreten Fall geprüfte Rentenplafonierung der Ehe- gatten, gegenüberstehen – als mit der Bundesverfassung der Schweizeri- schen Eidgenossenschaft vom 18. April 1999 (BV; SR 101; Art. 8 Abs. 1 und 2 und Art. 9 BV) wie auch der für die Schweiz am 28. November 1974 in Kraft getretenen Konvention zum Schutze der Menschenrechte und Grundfreiheiten (EMRK; SR 0.101; Art. 14 EMRK) vereinbar.</w:t>
      </w:r>
    </w:p>
    <w:p>
      <w:r>
        <w:rPr>
          <w:b/>
        </w:rPr>
        <w:t>E. 3.3.3</w:t>
      </w:r>
    </w:p>
    <w:p>
      <w:r>
        <w:t>Mit Blick auf das gesamte Sozialversicherungssystem ist deshalb hinzunehmen, dass die konsequente Anknüpfung am zivilrechtlichen Ehe- begriff zu einer Ungleichbehandlung der Lebensformen der Ehe einerseits und des Konkubinats anderseits führt (BGE 140 I 77 E. 9). Mit anderen Worten stellt die abweichende Behandlung einer im Konkubinat lebenden Person weder eine rechtsungleiche Behandlung des Konkubinats gegen- über der Ehe noch eine Diskriminierung dieser Lebensform dar. Darüber hinaus ist diese Betrachtungsweise und die daraus folgende Verweigerung der Witwenrente nicht willkürlich (vgl. Urteil des BVGer C-2986/2017 vom 27. Juli 2018 E. 5.5). Ergänzend ist darauf hinzuweisen, dass sich keine Änderung der Praxis aufdrängt (zu den Voraussetzungen für eine Praxis- änderung vgl. BGE 138 III 359 E. 6.1 und 137 V 314 E. 2.2 mit weiteren Hinweisen).</w:t>
      </w:r>
    </w:p>
    <w:p>
      <w:r>
        <w:rPr>
          <w:b/>
        </w:rPr>
        <w:t>E. 4</w:t>
      </w:r>
    </w:p>
    <w:p>
      <w:r>
        <w:t>Aufgrund der vorstehenden Erwägungen ist zusammenfassend festzuhal- ten, dass sich eine Anrechnung der Dauer des Konkubinats an die Ehe- dauer gemäss Art. 24 Abs. 1 AHVG verbietet, weshalb die Beschwerdefüh- rerin – nebst den Anspruchsvoraussetzungen auf eine Witwenrente ge- mäss Art. 23 Abs. 1 AHVG und Art. 23 Abs. 2 Bst. a und b AHVG (vgl. E. 3.1 hiervor) – auch diejenigen gemäss Art. 24 Abs. 1 AHVG nicht erfüllt. Da die Beschwerde offensichtlich unbegründet ist, ist sie im einzelrichterlichen Verfahren gemäss Art. 23 Abs. 2 VGG in Verbindung mit Art. 85bis Abs. 3 AHVG abzuweisen.</w:t>
      </w:r>
    </w:p>
    <w:p>
      <w:r>
        <w:t>C-994/2021 Seite 10</w:t>
      </w:r>
    </w:p>
    <w:p>
      <w:r>
        <w:rPr>
          <w:b/>
        </w:rPr>
        <w:t>E. 5</w:t>
      </w:r>
    </w:p>
    <w:p>
      <w:r>
        <w:t>Zu befinden bleibt über die Verfahrenskosten und eine allfällige Parteient- schädigung.</w:t>
      </w:r>
    </w:p>
    <w:p>
      <w:r>
        <w:rPr>
          <w:b/>
        </w:rPr>
        <w:t>E. 5.1</w:t>
      </w:r>
    </w:p>
    <w:p>
      <w:r>
        <w:t>Das Verfahren vor Bundesverwaltungsgericht in dieser Angelegenheit ist kostenlos (Art. 85bis Abs. 2 AHVG).</w:t>
      </w:r>
    </w:p>
    <w:p>
      <w:r>
        <w:rPr>
          <w:b/>
        </w:rPr>
        <w:t>E. 5.2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 behörde hat die obsiegende Vorinstanz keinen Anspruch auf eine Partei- entschädigung (Art. 7 Abs. 3 VGKE). Der unterliegenden Beschwerdefüh- rerin ist entsprechend dem Verfahrensausgang ebenfalls keine Parteient- 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