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C-993/2006 vom 25. Januar 2008</w:t>
      </w:r>
    </w:p>
    <w:p>
      <w:r>
        <w:t>Bundesverwaltungsgericht, 2008-01-25, IT</w:t>
      </w:r>
    </w:p>
    <w:p>
      <w:r>
        <w:rPr>
          <w:b/>
        </w:rPr>
        <w:t xml:space="preserve">Quelle: </w:t>
      </w:r>
      <w:r>
        <w:t>https://mcp.opencaselaw.ch/entscheid/bvger_C-993_2006</w:t>
      </w:r>
    </w:p>
    <w:p>
      <w:r>
        <w:t>FR: TAF C-993/2006 du 25 janvier 2008</w:t>
      </w:r>
    </w:p>
    <w:p>
      <w:r>
        <w:t>IT: TAF C-993/2006 del 25 gennaio 2008</w:t>
      </w:r>
    </w:p>
    <w:p>
      <w:pPr>
        <w:pStyle w:val="Heading2"/>
      </w:pPr>
      <w:r>
        <w:t>Regeste</w:t>
      </w:r>
    </w:p>
    <w:p>
      <w:r>
        <w:t>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fr. 600.-, sono poste a carico del ricorrente e sono computate con l'anticipo dello stesso importo versato in data 19 marzo 2007.</w:t>
      </w:r>
    </w:p>
    <w:p>
      <w:r>
        <w:rPr>
          <w:b/>
        </w:rPr>
        <w:t>E. 3</w:t>
      </w:r>
    </w:p>
    <w:p>
      <w:r>
        <w:t>Comunicazione a: - ricorrente (Raccomandata) - autorità inferiore (incarti 1 815 715 e N 200 964 di ritorno) - Migrationsamt Thurgau, per informazione (incarto cantonale di ritorno) La presidente del collegio: Il cancelliere: Elena Avenati-Carpani Graziano Mordasini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