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C-990/2006 vom 25. März 2008</w:t>
      </w:r>
    </w:p>
    <w:p>
      <w:r>
        <w:t>Bundesverwaltungsgericht, 2008-03-25, DE</w:t>
      </w:r>
    </w:p>
    <w:p>
      <w:r>
        <w:rPr>
          <w:b/>
        </w:rPr>
        <w:t xml:space="preserve">Quelle: </w:t>
      </w:r>
      <w:r>
        <w:t>https://mcp.opencaselaw.ch/entscheid/bvger_C-990_2006</w:t>
      </w:r>
    </w:p>
    <w:p>
      <w:r>
        <w:t>FR: TAF C-990/2006 du 25 mars 2008</w:t>
      </w:r>
    </w:p>
    <w:p>
      <w:r>
        <w:t>IT: TAF C-990/2006 del 25 marzo 2008</w:t>
      </w:r>
    </w:p>
    <w:p>
      <w:pPr>
        <w:pStyle w:val="Heading2"/>
      </w:pPr>
      <w:r>
        <w:t>Regeste</w:t>
      </w:r>
    </w:p>
    <w:p>
      <w:r>
        <w:t>Einreise</w:t>
      </w:r>
    </w:p>
    <w:p>
      <w:pPr>
        <w:pStyle w:val="Heading2"/>
      </w:pPr>
      <w:r>
        <w:t>Erwägungen</w:t>
      </w:r>
    </w:p>
    <w:p>
      <w:r>
        <w:rPr>
          <w:b/>
        </w:rPr>
        <w:t>E. 1.1</w:t>
      </w:r>
    </w:p>
    <w:p>
      <w:r>
        <w:t>Verfügungen des BFM betreffend Einreiseverweigerung unterliegen der Beschwerde an das Bundesverwaltungsgericht (Art. 31, Art. 32 sowie Art. 33 Bst. d des Verwaltungsgerichtsgesetzes vom 17. Juni 2005 [VGG, SR 173.32]).</w:t>
      </w:r>
    </w:p>
    <w:p>
      <w:r>
        <w:rPr>
          <w:b/>
        </w:rPr>
        <w:t>E. 1.2</w:t>
      </w:r>
    </w:p>
    <w:p>
      <w:r>
        <w:t>Das Bundesverwaltungsgericht übernimmt, sofern es zuständig ist,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Artikel 37 VGG richtet sich das Verfahren vor dem Bundesverwaltungsgericht nach dem Bundesgesetz über das Verwaltungsverfahren vom 20. Dezember 1968 (VwVG, SR 172.021), soweit dieses Gesetz nichts anderes bestimmt. Das Urteil ist endgültig (Art. 1 Abs. 2 VGG i.V.m. Art. 83 Bst. c Ziff. 1 des Bundesgerichtsgesetzes vom 17. Juni 2005 [BGG, SR 173.110]).</w:t>
      </w:r>
    </w:p>
    <w:p>
      <w:r>
        <w:rPr>
          <w:b/>
        </w:rPr>
        <w:t>E. 1.4</w:t>
      </w:r>
    </w:p>
    <w:p>
      <w:r>
        <w:t>Die Beschwerdeführerin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Massgebend sind daher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aVEA).</w:t>
      </w:r>
    </w:p>
    <w:p>
      <w:r>
        <w:rPr>
          <w:b/>
        </w:rPr>
        <w:t>E. 3.2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nachstehenden Visumsbestimmungen).</w:t>
      </w:r>
    </w:p>
    <w:p>
      <w:r>
        <w:rPr>
          <w:b/>
        </w:rPr>
        <w:t>E. 3.3</w:t>
      </w:r>
    </w:p>
    <w:p>
      <w:r>
        <w:t>Ausländerinnen und Ausländer benötigen zur Einreise in die Schweiz einen Pass und ein Visum, sofern sie nicht aufgrund besonderer Regelung von diesem Erfordernis ausgenommen sind (Art. 1 bis 5 aVEA). Das Visum wird verweigert, wenn die Ausländerin oder der Ausländer die Einreisevoraussetzungen nach Art. 1 aVEA nicht erfüllt (vgl. Art. 14 Abs. 1 aVEA). So müssen Personen, die in die Schweiz reisen möchten, unter anderem Gewähr bieten, dass sie fristgerecht wieder ausreisen werden (Art. 1 Abs. 2 Bst. c aVEA).</w:t>
      </w:r>
    </w:p>
    <w:p>
      <w:r>
        <w:rPr>
          <w:b/>
        </w:rPr>
        <w:t>E. 4.1</w:t>
      </w:r>
    </w:p>
    <w:p>
      <w:r>
        <w:t>Die Beschwerdeführerin kann sich auf keine Ausnahmeregelung berufen und unterliegt aufgrund ihrer Nationalität den Visumsbestimmungen (vgl. Art. 3 und 4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4.3</w:t>
      </w:r>
    </w:p>
    <w:p>
      <w:r>
        <w:t>Die parlamentarische Versammlung des Kosovo hat am 17. Februar 2008 die Unabhängigkeit des Kosovo erklärt. Am 27. Februar 2008 anerkannte die Schweiz den Kosovo. Wie jedoch die Staatengemeinschaft mit dieser neuen Lage umgehen wird, ist noch ungewiss. Aus wirtschaftlicher Sicht ist es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bereits bei 37% (Tendenz steigend). Der Zuwanderungsdruck aus dieser Region ist dementsprechend hoch, was sich auch in der schweizerischen Asylstatistik widerspiegelt. So stammten im Jahre 2007 9.2% der Asylsuchenden aus Serbien (inklusive Kosovo).</w:t>
      </w:r>
    </w:p>
    <w:p>
      <w:r>
        <w:rPr>
          <w:b/>
        </w:rPr>
        <w:t>E. 4.4</w:t>
      </w:r>
    </w:p>
    <w:p>
      <w:r>
        <w:t>In Anbetracht der seit längerem schwierigen Lage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5.1</w:t>
      </w:r>
    </w:p>
    <w:p>
      <w:r>
        <w:t>Bei der Beschwerdeführerin handelt es sich um eine etwas mehr als 22-jährige, ledige Frau, die sich anlässlich der Gesuchseinreichung als arbeitslos bezeichnete und dementsprechend auch keinen Arbeitgeber nennen konnte (vgl. Ziff. 9 und 10 des persönlichen Einreisegesuches vom 23. August 2006). Demgegenüber verweist die Rekurrentin auf Beschwerdeebene - unter Vorlage eines Arbeitsvertrages sowie entsprechender Lohnabrechnungen in Kopie - auf ihre unbefristete Anstellung als Journalistin und Moderatorin beim Radio X._______ in Kamenice. Diese nachgereichten Beweismittel stehen einerseits in klarem Widerspruch zu den ursprünglichen Angaben der Beschwerdeführerin. Sollte es sich dabei tatsächlich um Kopien echter Dokumente handeln, ist andererseits nicht nachvollziehbar, wieso ein allenfalls bestehender Arbeitsvertrag von der Rekurrentin nicht bereits anlässlich ihrer Gesuchseinreichung vorgelegt oder zumindest erwähnt wurde. Zudem lässt die Tatsache, dass die Beschwerdeführerin nunmehr die maximal zulässige Aufenthaltsdauer von drei Monaten voll ausschöpfen möchte (vgl. Ziff. 2 der Rechtsbegehren), ihr jedoch gemäss Arbeitsvertrag lediglich ein Jahresurlaub von maximal 18 Arbeitstagen zusteht, erhebliche Zweifel an den behaupteten beruflichen Verpflichtungen im Heimatland aufkommen. Dass die Rekurrentin wohl kaum in wirtschaftlich günstigen Verhältnissen lebt, zeigt sich nicht zuletzt am Umstand, dass für das vorliegende Beschwerdeverfahren die unentgeltliche Rechtspflege beantragt wurde und sämtliche mit dem Besuchsaufenthalt verbundenen Kosten nicht von ihr, sondern vollumfänglich von den Gastgebern übernommen würden (vgl. das undatierte, an die Schweizervertretung gerichtete Einladungsschreiben der Gastgeberin).</w:t>
      </w:r>
    </w:p>
    <w:p>
      <w:r>
        <w:rPr>
          <w:b/>
        </w:rPr>
        <w:t>E. 5.2</w:t>
      </w:r>
    </w:p>
    <w:p>
      <w:r>
        <w:t>Die Beschwerdeführerin betont allerdings auch ihre familiären Verpflichtungen gegenüber ihren gesundheitlich angeschlagenen, pflegebedürftigen Eltern und bringt in diesem Zusammenhang vor, sie habe nicht nur die Pflege ihres Vaters zu übernehmen, sondern zusätzlich den Haushalt für ihre Eltern zu besorgen. Dieses Argument vermag nach Ansicht des Bundesverwaltungsgerichts schon deshalb nicht zu überzeugen, weil der Umstand, dass gleich eine dreimonatige Landesabwesenheit geplant ist, nicht ohne weiteres darauf schliessen lässt, die Präsenz der Beschwerdeführerin sei für die Belange ihrer Familie unverzichtbar; aufgrund der Aktenlage ist vielmehr davon auszugehen, die von ihr geleistete Unterstützung und Betreuung könne durchaus für längere Zeit auch auf andere Weise sichergestellt werden. Insofern darf bezweifelt werden, dass der Rekurrentin im Heimatland zwingende Verpflichtungen obliegen, die sie ernsthaft von einer Emigration abzuhalten vermöchten, zumal nicht nur ihre Schwester, die Gastgeberin, sondern mittlerweile auch ihr einziger Bruder definitiv in die Schweiz übersiedelt sind. Diesem Gesichtspunkt gilt es bei der Beurteilung des vorliegenden Einreisegesuches ebenfalls Rechnung zu tragen, ist doch das Risiko, dass weitere Angehörige aus dem engeren Familienkreis (wie beispielsweise die Beschwerdeführerin), die im Heimatland möglicherweise mit den gleichen oder zumindest ähnlichen Problemen zu kämpfen haben, ebenfalls einen dauerhaften Aufenthalt in der Schweiz anstreben könnten, nicht bloss als gering einzustufen. Vor diesem Hintergrund müssen die Beteuerungen der Gastgeberin, wonach ihre Schwester die Schweiz fristgerecht verlassen werde, als nicht ausschlaggebend bezeichnet werden. Im Übrigen hegte auch die Schweizerische Vertretung in Pristina, welche mit den sozialen, wirtschaftlichen und politischen Verhältnissen im Herkunftsstaat der Beschwerdeführerin gut vertraut ist und sich somit durchaus ein Bild der Einreisewilligen machen kann, grosse Bedenken bezüglich der anstandslosen Wiederausreise und verweigerte formlos die Einreisebewilligung.</w:t>
      </w:r>
    </w:p>
    <w:p>
      <w:r>
        <w:rPr>
          <w:b/>
        </w:rPr>
        <w:t>E. 5.3</w:t>
      </w:r>
    </w:p>
    <w:p>
      <w:r>
        <w:t>Nach dem Gesagten durfte die Vorinstanz daher zu Recht davon ausgehen, die Wiederausreise der Beschwerdeführerin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die Gastgeberin die rechtzeitige Rückkehr ihrer Schwester zusichert; denn eine solche Garantie ist trotz bester und ehrlicher Absichten nicht möglich bzw. rechtlich nicht durchsetzbar (vgl. Urteil des Bundesverwaltungsgerichts C-2341/2006 vom 7. August 2007 E. 6).</w:t>
      </w:r>
    </w:p>
    <w:p>
      <w:r>
        <w:rPr>
          <w:b/>
        </w:rPr>
        <w:t>E. 6</w:t>
      </w:r>
    </w:p>
    <w:p>
      <w:r>
        <w:t>Der Vollständigkeit halber gilt es schliesslich darauf hinzuweisen, dass gemäss den gesetzlichen Bestimmungen die Ausländerin oder der Ausländer an den im Visum festgelegten Reise- und Aufenthaltszweck gebunden ist (vgl. Art. 11 Abs. 3 aVEA). Aufgrund der Aktenlage (vgl. insbesondere das oben erwähnte Schreiben der Gastgeberin an die Schweizervertretung sowie das ärztliche Zeugnis vom 22. Juni 2006) ist anzunehmen, dass die Beschwerdeführerin auch deshalb in der Schweiz erwartet wird, um die Gastgeber bei der Betreuung ihrer minderjährigen Kinder sowie teilweise auch im Haushalt zu unterstützen. Diesbezüglich ist festzuhalten, dass eine solche Tätigkeit, so nützlich sie für die Gastgeber wäre, mit einem Aufenthalt zu Besuchszwecken ohnehin nicht vereinbar wäre. Arbeitsleistungen in Haushalt und/oder Familie - auch wenn sie nur stunden- oder tageweise oder vorübergehend ausgeübt werden - gelten grundsätzlich als (bewilligungspflichtige) Erwerbstätigkeit. Dies selbst dann, wenn derartige Tätigkeiten bloss unentgeltlich, gegen ein Taschengeld oder gegen Kost und Logis erbracht würden (vgl. Art. 6 der Verordnung vom 6. Oktober 1986 über die Begrenzung der Zahl der Ausländer [aBVO], AS 1986 1791). Eine Ausnahme könnten allenfalls unentgeltliche Hilfeleistungen von nächsten Verwandten bilden. So hat das EJPD in einem Entscheid vom 22. September 1997 festgehalten (vgl. Verwaltungspraxis der Bundesbehörden [VPB] 63.37), dass eine ausländische Grossmutter, die in der Schweiz ihr Enkelkind hütet, keiner Erwerbstätigkeit nachgeht, obwohl das Kinderhüten grundsätzlich als Dienstleistung auf dem Arbeitsmarkt angeboten wird. Es stellte dabei im Wesentlichen auf das arbeitsmarktfremde Kriterium ab, dass die Betreuungsdienste einer Grossmutter wegen der verwandtschaftlichen und emotionalen Nähe zu den Enkelkindern nicht durch eine Drittperson ersetzt werden könnte, ohne dass der besondere Charakter der Tätigkeit verloren ginge. Die Frage, ob Betreuungsdienste, welche - wie im vorliegenden Fall - durch eine Tante geleistet würden, ebenfalls keine (bewilligungspflichtige) Erwerbstätigkeit darstellen würden, braucht hingegen nicht eingehend geklärt zu werden, da die Beschwerde bereits aus den obgenannten Gründen (nicht hinreichend gesicherte Wiederausreise) abzuweisen ist.</w:t>
      </w:r>
    </w:p>
    <w:p>
      <w:r>
        <w:rPr>
          <w:b/>
        </w:rPr>
        <w:t>E. 7</w:t>
      </w:r>
    </w:p>
    <w:p>
      <w:r>
        <w:t>Aus diesen Gründen ist somit nicht zu beanstanden, dass die Vorinstanz das öffentliche Interesse sowie die Beachtung der geltenden Bestimmungen entsprechend gewichtete und der Beschwerdeführerin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8</w:t>
      </w:r>
    </w:p>
    <w:p>
      <w:r>
        <w:t>Bei diesem Verfahrensausgang wird die Beschwerdeführerin grundsätzlich kostenpflichtig (Art. 63 Abs. 1 VwVG i.V.m. Art. 1, Art. 2 und Art. 3 Bst. b des Reglements vom 11. Dezember 2006 über die Kosten und Entschädigungen vor dem Bundesverwaltungsgericht [VGKE, SR 173.320.2]). Dem Gesuch um Gewährung der unentgeltlichen Rechtspflege ist nicht stattzugeben, da die Beschwerdebegehren zum vornherein aussichtslos waren (Art. 65 Abs. 1 VwVG).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