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C-988/2015 vom 29. Oktober 2015</w:t>
      </w:r>
    </w:p>
    <w:p>
      <w:r>
        <w:t>Bundesverwaltungsgericht, 2015-10-29, DE</w:t>
      </w:r>
    </w:p>
    <w:p>
      <w:r>
        <w:rPr>
          <w:b/>
        </w:rPr>
        <w:t xml:space="preserve">Quelle: </w:t>
      </w:r>
      <w:r>
        <w:t>https://mcp.opencaselaw.ch/entscheid/bvger_C-988_2015</w:t>
      </w:r>
    </w:p>
    <w:p>
      <w:r>
        <w:t>FR: TAF C-988/2015 du 29 octobre 2015</w:t>
      </w:r>
    </w:p>
    <w:p>
      <w:r>
        <w:t>IT: TAF C-988/2015 del 29 ottobre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guten Ordnung halber und auch unter Bezugnahme auf die Vorbemerkungen in der Rechtsmitteleingabe sei darauf hingewiesen, dass sich der Beschwerdeführer unter den konkreten Begebenheiten nicht auf das Freizügigkeitsabkommen (FZA, SR 0.142.112.681) berufen kann. Ein abgeleitetes Freizügigkeitsrecht hat nur, wer als Familienangehöriger in Art. 3 Abs. 2 Anhang I FZA aufgeführt ist. Als Familienangehörige im Sinne dieser Bestimmung gelten der Ehegatte und die Verwandten in absteigender Linie, die noch nicht 21 Jahre alt sind oder denen Unterhalt gewährt wird (Bst. a), die Verwandten und die Verwandten des Ehegatten in aufsteigender Linie, denen Unterhalt gewährt wird (Bst. b) und bei Studierenden schliesslich der Ehegatte und die unterhaltberechtigten Kinder (Bst. c). Im Verhältnis zur Mutter, zur Schwester, zum Stiefvater sowie zum Onkel kann das FZA folglich zum vornherein nicht zur Anwendung gelangen. In Bezug auf die spanische Ehefrau wiederum entfällt eine Berufung auf das FZA, weil die Eheleute nicht mehr zusammenleben und der Beschwerdeführer längst eine andere Partnerin hat, die Schweizer Bürgerin ist (siehe dazu Entscheid der kantonalen Justizvollzugsbehörde vom 5. Januar 2015 betr. bedingte Entlassung). Abgesehen davon würde die Anerkennung eines abgeleiteten Freizügigkeitsrechts bedingen, dass die originär berechtigte Person von ihrem Freizügigkeitsrecht bereits Gebrauch gemacht hat, was hier nicht der Fall war (zum Ganzen vgl. Urteil des BGer 2C_1092/2013 vom 4. Juli 2014 E. 5.1 und 5.2 m.H. oder Giulia Santangelo, Kein abgeleitetes Recht auf Freizügigkeit ohne Ausübung des Freizügigkeitsrechts durch den originär Berechtigten, in: dRSK, publiziert am 2. Dezember 2014). Die vorliegende Streitsache beurteilt sich demnach ausschliesslich nach dem schweizerischen Ausländerrecht.</w:t>
      </w:r>
    </w:p>
    <w:p>
      <w:r>
        <w:rPr>
          <w:b/>
        </w:rPr>
        <w:t>E. 4</w:t>
      </w:r>
    </w:p>
    <w:p>
      <w:r>
        <w:t>In formeller Hinsicht rügt der Parteivertreter in erster Linie, die angefochtene Verfügung sei ungenügend begründet. Die Begründung des schwerwiegenden Grundrechtseingriffs umfasse gerade mal sechs Sätze und die konkreten Umstände des Einzelfalls, insbesondere die persönlichen und familiären Verhältnisse seines Mandanten, blieben darin unberücksichtigt. Beanstandet wird in der Replik darüber hinaus, dass ihm die der Vernehmlassung beigelegte E-Mail in anonymisierter Form unterbreitet worden ist.</w:t>
      </w:r>
    </w:p>
    <w:p>
      <w:r>
        <w:rPr>
          <w:b/>
        </w:rPr>
        <w:t>E. 4.1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je m.H.).</w:t>
      </w:r>
    </w:p>
    <w:p>
      <w:r>
        <w:rPr>
          <w:b/>
        </w:rPr>
        <w:t>E. 4.2</w:t>
      </w:r>
    </w:p>
    <w:p>
      <w:r>
        <w:t>Die angefochtene Verfügung enthält bloss eine sehr kurze Begründung, welche angesichts der Tragweite der angeordneten, langfristigen Fernhaltemassnahme kaum als genügend erachtet werden kann. Aus besagter Begründung wird zwar ersichtlich, dass die Verurteilung durch das Appellationsgericht des Kantons Basel-Stadt vom 27. November 2012, die gegen den Beschwerdeführer wegen Verbrechens gegen das Betäubungsmittelgesetz (BetmG, SR 812.121) sowie Fälschung von Ausweisen ergangen war, zum Anlass genommen wurde, um eine Fernhaltemassnahme gestützt auf Art. 67 AuG anzuordnen. Weiter hält sie fest, dass angesichts des gezeigten Verhaltens ein Einreiseverbot von zehn Jahren angezeigt erscheine, um künftige Delikte zu vermeiden. Sodann führte das SEM aus, dass sich selbst in Berücksichtigung der im Rahmen des rechtlichen Gehörs gemachten Angaben eine Fernhaltemassnahme dieser Dauer rechtfertige, ohne allerdings die hierbei geäusserten privaten Interessen namentlich zu erwähnen. In der Vernehmlassung wird schliesslich Stellung zum spanischen Aufenthaltstitel des Beschwerdeführers und zum SIS-Eintrag genommen. Immerhin war mit dieser Begründung erkennbar, was für Vorkommnisse bzw. welche Delinquenz für die Verhängung einer Fernhaltemassnahme Anlass bot. Dem Beschwerdeführer war es denn möglich, die Verfügung sachgerecht anzufechten. Zu berücksichtigen gilt es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C-4898/2012 vom 1. Mai 2014 E. 3.3 m.H.).</w:t>
      </w:r>
    </w:p>
    <w:p>
      <w:r>
        <w:rPr>
          <w:b/>
        </w:rPr>
        <w:t>E. 4.3</w:t>
      </w:r>
    </w:p>
    <w:p>
      <w:r>
        <w:t>Indem das SEM ein Einreiseverbot von zehn Jahren verhängte, ging es allerdings davon aus, dass eine im Sinne von Art. 67 Abs. 3 AuG schwerwiegende Gefahr für die öffentliche Sicherheit und Ordnung vorliegt, die ein Einreiseverbot von mehr als fünf Jahren überhaupt zulässt. Wie die Vorinstanz zu dieser Schlussfolgerung gelangte, führte sie weder in der angefochtenen Verfügung noch in der Vernehmlassung in nachvollziehbarer Weise aus. Wohl nannte sie die Gesetzesnorm mit der entsprechenden Voraussetzung ("schwerwiegende Gefährdung der öffentlichen Sicherheit und Ordnung", die sie aber fälschlicherweise Art. 67 Abs. 2 Bst. a AuG zuordnete) und stichwortartig ebenfalls die Tatumstände ("grosse Gesundheitsgefährdung und Bandenbegehung"). Nähere Erläuterungen dazu oder eine Auseinandersetzung mit sonstigen Aspekten des Einzelfalles (beispielsweise zum Vorleben, zu den familiären Verhältnissen oder zur Wiederholungs- und Rückfallgefahr) fehlen indes gänzlich. Die Anforderungen an die Begründung sind in diesem Zusammenhang schon deshalb hoch und eine exakte Begriffsverwendung ist unerlässlich, weil ein längerfristiges Einreiseverbot schwer wiegt und der Ermessensspielraum der Behörde erheblich ist. Das SEM muss daher im Einzelfall eine Gefährdungsprognose erstellen und diese in nachvollziehbarer Weise begründen; d.h. der Betroffene muss erkennen können, weshalb die Behörde von einer aktuellen und schwerwiegenden Gefahr ausgeht (vgl. Urteil des BVGer C 535/2013 vom 9. Juli 2015 E. 3.3.2 m.H.). Insoweit die Vor-instanz in der angefochtenen Verfügung eine qualifizierte Gefährdungslage annahm, ist ihr deshalb eine Verletzung der in Art. 35 Abs. 1 VwVG verankerten Begründungspflicht vorzuhalten.</w:t>
      </w:r>
    </w:p>
    <w:p>
      <w:r>
        <w:rPr>
          <w:b/>
        </w:rPr>
        <w:t>E. 4.4</w:t>
      </w:r>
    </w:p>
    <w:p>
      <w:r>
        <w:t>Eine Verletzung des Anspruchs auf rechtliches Gehör führt ungeachtet der Erfolgsaussichten der Beschwerde in der Sache selbst in der Regel zur Aufhebung der angefochtenen Verfügung. Darauf kann in nicht besonders schwerwiegenden Fällen verzichtet werden, wenn die unterlassene Verfahrenshandlung im Rechtsmittelverfahren nachgeholt wird und das rechtliche Gehör vom Betroffenen nachträglich wahrgenommen werden kann. Dies setzt auch voraus, dass der Rechtsmittelbehörde dieselbe Kognition zukommt wie der Vorinstanz. Des Weiteren darf der von der Verletzung betroffenen Partei durch den Verzicht auf die Kassation kein unzumutbarer Nachteil entstehen. Durch eine solche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m..H.).</w:t>
      </w:r>
    </w:p>
    <w:p>
      <w:r>
        <w:rPr>
          <w:b/>
        </w:rPr>
        <w:t>E. 4.5</w:t>
      </w:r>
    </w:p>
    <w:p>
      <w:r>
        <w:t>Das Bundesverwaltungsgericht verfügt über die gleiche Kognition wie die Vorinstanz und ist zur freien Prüfung aller Sachverhalts- und Rechtsfragen befugt (vgl. E. 2 hiervor). Es handelt sich sodann nicht um eine besonders schwerwiegende Gehörsverletzung (vgl. hierzu Urteil des BGer 2C_270/2015 vom 6. August 2015 E. 3.2). Zudem hat die Vor-instanz die Gründe ihrer Entscheidung anlässlich des Schriftenwechsels zumindest in Bezug auf die SIS-Ausschreibung ergänzt, dies aber - wie erwähnt - ohne zum Kriterium der schwerwiegenden Gefahr gemäss Art. 67 Abs. 3 AuG ausdrücklich Stellung zu nehmen. Dazu wurde dem Beschwerdeführer das Replikrecht gewährt. Ausserdem hat er mit dem Verzicht auf einen Kassationsantrag zum Ausdruck gebracht, dass ihm an einer zügigen Beurteilung durch die Rechtsmittelinstanz gelegen ist. Schliesslich ist auch nicht davon auszugehen, dass das SEM im Falle einer aus formellen Gründen angeordneten Kassation anders entschieden hätte. Es rechtfertigt sich daher, von einer Rückweisung der Angelegenheit abzusehen.</w:t>
      </w:r>
    </w:p>
    <w:p>
      <w:r>
        <w:rPr>
          <w:b/>
        </w:rPr>
        <w:t>E. 4.6</w:t>
      </w:r>
    </w:p>
    <w:p>
      <w:r>
        <w:t>Der Rechtsvertreter stösst sich überdies an der Anonymisierung der ihm als Beilage zur Vernehmlassung übermittelten E-Mail. Entgegen seiner Annahme war es nicht die Vorinstanz sondern das Bundesverwaltungsgericht, welches fragliches Aktenstück - konkret die darin figurierende E-Mailadresse - eingeschwärzt hat. Ein solches Vorgehen ist durch Art. 26 ff. VwVG, insbesondere Art. 28 VwVG, ohne weiteres gedeckt, wurde der betroffenen Partei der wesentliche Inhalt des Dokuments ansonsten doch tel quel zur Kenntnis gebracht. An wen die vorinstanzliche Anfrage zu Handen der spanischen Behörden gerichtet war (nämlich das SIRENE Büro Schweiz), geht im Übrigen direkt aus der Vernehmlassung hervor, weshalb der diesbezügliche Vorwurf jeglicher Grundlage entbehrt.</w:t>
      </w:r>
    </w:p>
    <w:p>
      <w:r>
        <w:rPr>
          <w:b/>
        </w:rPr>
        <w:t>E. 5</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1990 (SDÜ, ABl. L 239/19 vom 22.9.2000; vgl. Urteil des BVGer C 535/2013 vom 9. Juli 2015 E. 4 m.H.).</w:t>
      </w:r>
    </w:p>
    <w:p>
      <w:r>
        <w:rPr>
          <w:b/>
        </w:rPr>
        <w:t>E. 6.1</w:t>
      </w:r>
    </w:p>
    <w:p>
      <w:r>
        <w:t>Die Vorinstanz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6.2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m.H.).</w:t>
      </w:r>
    </w:p>
    <w:p>
      <w:r>
        <w:rPr>
          <w:b/>
        </w:rPr>
        <w:t>E. 6.3</w:t>
      </w:r>
    </w:p>
    <w:p>
      <w:r>
        <w:t>Die in Art. 67 Abs. 3 AuG statuierte Regelhöchstdauer eines Einreiseverbots beträgt fünf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(E. 6.9). Weiter befasste sich das BVGer in diesem Urteil mit der Frage nach der Höchstdauer solcher Einreiseverbote und entschied, dass diese grundsätzlich fünfzehn Jahre beträgt; nur im Wiederholungsfall kann die Dauer zwanzig Jahre betragen (E. 7).</w:t>
      </w:r>
    </w:p>
    <w:p>
      <w:r>
        <w:rPr>
          <w:b/>
        </w:rPr>
        <w:t>E. 7</w:t>
      </w:r>
    </w:p>
    <w:p>
      <w:r>
        <w:t>Mit Urteil des Appellationsgerichts des Kantons Basel-Stadt vom 27. November 2012 wurde der Beschwerdeführer wegen Verbrechens nach Art. 19 Ziff. 2 Bst. a und b BetmG (Gefährdung der Gesundheit vieler Menschen, bandenmässige Begehung) sowie Fälschung von Ausweisen zu einer Freiheitsstrafe von sechs Jahren verurteilt. Mit seiner Delinquenz hat er gegen die öffentliche Sicherheit und Ordnung verstossen bzw. polizeiliche Schutzgüter gefährdet und damit einen Fernhaltegrund im Sinne von Art. 67 Abs. 2 Bst. a AuG gesetzt. Wohl handelt es sich um eine Kann-Bestimmung, schwere Verstösse gegen die Betäubungsmittelgesetzgebung im In- oder Ausland werden gemäss geltender Praxis - selbst bei lediglich einer Verurteilung - jedoch regelmässig mit mehr- bzw. langjährigen Fernhaltemassnahmen geahndet (vgl. dazu eingehender E. 8.5 weiter hinten). Die Voraussetzungen von Art. 67 Abs. 2 Bst. a AuG sind somit zweifellos erfüllt.</w:t>
      </w:r>
    </w:p>
    <w:p>
      <w:r>
        <w:rPr>
          <w:b/>
        </w:rPr>
        <w:t>E. 8.1</w:t>
      </w:r>
    </w:p>
    <w:p>
      <w:r>
        <w:t>Das angefochtene Einreiseverbot gilt für eine Dauer von zehn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8.2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BVGer C-5602/2012 vom 16. Januar 2015 E. 6.1 m.H.). Hieraus ergibt sich die prinzipielle Zulässigkeit von Fernhaltemassnahmen, welche die in Art. 67 Abs. 3 erster Satz AuG genannte Höchstdauer von fünf Jahren überschreiten.</w:t>
      </w:r>
    </w:p>
    <w:p>
      <w:r>
        <w:rPr>
          <w:b/>
        </w:rPr>
        <w:t>E. 8.3</w:t>
      </w:r>
    </w:p>
    <w:p>
      <w:r>
        <w:t>Eine Störung der öffentlichen Sicherheit und Ordnung durch Drogendelikte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rechtlichen relevanten Gefahr im Sinne von Art. 67 Abs. 2 Bst. a AuG zugrunde liegt (vgl. etwa Urteil des BVGer C-6635/2013 vom 19. Mai 2015 E. 6.3).</w:t>
      </w:r>
    </w:p>
    <w:p>
      <w:r>
        <w:rPr>
          <w:b/>
        </w:rPr>
        <w:t>E. 8.4</w:t>
      </w:r>
    </w:p>
    <w:p>
      <w:r>
        <w:t>Die gegen den Beschwerdeführer mit Urteil vom 27. November 2012 verhängte Freiheitsstrafe belief sich auf sechs Jahre. Schuldig befunden wurde er des Verbrechens nach Art. 19 Ziff. 2 Bst. a und b BetmG. Zur Strafzumessung führte das Appellationsgericht des Kantons Basel-Stadt u.a. aus, dass der Beschwerdeführer mit einer Mittäterin und drei Mittätern bei drei Drogentransporten (18./20. Januar 2011, 21. Februar/1. März 2011, 26./29. März 2011) jeweils Kokain im Kilobereich von den Niederlanden in die Schweiz transportiert und eingeführt habe. Er habe den Konvoi bei allen drei Transporten begleitet, die Hotels organisiert und die damit verbundenen Spesen beglichen. Zumindest einmal habe er zudem beim Herstellen des Kokaingemischs mitgeholfen. Alle Beteiligten hätten durch ihre festgelegten Tatbeiträge eine aktive Rolle im arbeitsteiligen Vorgehen eingenommen und ein gut organisiertes Team gebildet. Bei der letzten Fahrt sei die Menge der transportierten Drogen bekannt gewesen (knapp 7 ½ Kilogramm Kokaingemisch bzw. 1,2 Kilogramm reines Kokain), es sei aber davon auszugehen, dass sich die eingeführte Menge bei den Fahrten zuvor in ähnlichen Dimensionen, jedenfalls "in klar qualifiziertem Bereich", bewegt habe. Der Beschwerdeführer nahm mithin in Kauf, dass er mit seinem Verhalten die Gesundheit vieler Menschen in Gefahr bringen konnte. Dementsprechend wertete das Appellations-gericht des Kantons Basel-Stadt das Verschulden des Betroffenen als sehr schwer. Gleichzeitig wurde er wegen Fälschung von Ausweisen nach Art. 252 StGB schuldig gesprochen, da er einen gefälschten Führer-ausweis verwendet hatte. Es besteht daher ein erhebliches öffentliches Interesse daran, ihn längerfristig von der Schweiz fernzuhalten.</w:t>
      </w:r>
    </w:p>
    <w:p>
      <w:r>
        <w:rPr>
          <w:b/>
        </w:rPr>
        <w:t>E. 8.5</w:t>
      </w:r>
    </w:p>
    <w:p>
      <w:r>
        <w:t>Bei der Frage, ob der Beschwerdeführer aktuell eine Gefährdung darstellt, kommt es wesentlich auf das Rückfallrisiko an. Die ihm zur Last gelegten Straftaten sprechen für eine besondere Tätergefährlichkeit, denn qualifizierte Widerhandlungen gegen das Betäubungsmittelgesetz haben nicht nur in Bezug auf den Kreis der Opfer, sondern auch angesichts ihrer räumlichen Ausbreitungsmöglichkeiten gravierende Auswirkungen (vgl. E. 8.2 hiervor). Gemäss bundesgerichtlicher Rechtsprechung, die im Einklang mit derjenigen des Europäischen Gerichtshofes für Menschenrechte (EGMR) steht, ist bei solchen Delikten ein strenger Massstab anzuwenden und selbst ein geringes Restrisiko weiterer Störungen nicht in Kauf zu nehmen (vgl. etwa BGE 139 I 145 E. 2.5, BGE 131 II 352 E. 4.3.1 und BGE 125 II 521 E. 4a oder Urteil des BGer 2C_282/2012 vom 31. Juli 2012 E. 2.5 je m.H.). Negativ ins Gewicht fallen beim Beschwerdeführer diesbezüglich die grosse Gesundheitsgefährdung durch Mithilfe beim Transport einer erheblichen Menge von Kokain, die bandenmässige Begehung, das Handeln ohne Not (keine Drogenabhängigkeit) und aus rein finanziellen Motiven sowie die fehlende Reue und Einsicht. Vor diesem Hintergrund ist die von ihm ausgehende Gefahr für die öffentliche Sicherheit und Ordnung als schwerwiegend im Sinne von Art. 67 Abs. 3 zweiter Satz AuG anzusehen.</w:t>
      </w:r>
    </w:p>
    <w:p>
      <w:r>
        <w:rPr>
          <w:b/>
        </w:rPr>
        <w:t>E. 8.6</w:t>
      </w:r>
    </w:p>
    <w:p>
      <w:r>
        <w:t>Soweit der Parteivertreter das in seinen Augen zu einseitige Abstellen auf das Strafurteil bzw. das Strafmass beanstandet, gilt es sodann klarzustellen,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Hieraus ergibt sich eine andere Gewichtung der vom Rechtsvertreter angesprochenen Kriterien und ein im Vergleich mit den Straf- und Strafvollzugsbehörden strengerer Beurteilungsmassstab (vgl. BGE 137 II 233 E. 5.2.2 oder Urteil des BGer 2C_516/2014 vom 24. März 2015 E. 4.3.2 je m.H.).</w:t>
      </w:r>
    </w:p>
    <w:p>
      <w:r>
        <w:rPr>
          <w:b/>
        </w:rPr>
        <w:t>E. 8.7</w:t>
      </w:r>
    </w:p>
    <w:p>
      <w:r>
        <w:t>Im Zusammenhang mit der Frage, ob jemand eine Gefährdung im dargelegten Sinne darstelle (vgl. E. 8.3 weiter vorne), wäre zu ergänzen, dass für die Berechnung der Dauer des klaglosen Verhaltens nicht auf den Begehung- oder Urteilszeitpunkt abzustellen ist. Von vorrangiger Bedeutung erscheint stattdessen, wie lange sich eine straffällig gewordene Person nach ihrer Entlassung aus der Haft in Freiheit bewährt hat (vgl. BVGE 2014/20 E. 5.4 m.H.). Die Zeit, welche der Betroffene in Untersuchungshaft und anschliessend im Strafvollzug verbracht hat (Ende März 2011 bis Ende März 2015), kann mit anderen Worten nicht als Basis für die Beurteilung der Rückfallgefahr dienen. Dem Wohlverhalten einer Person im Straf- oder Massnahmevollzug kommt in dieser Hinsicht keine signifikante Aussagekraft zu. Angesichts der in einer Strafvollzugsanstalt oder einer vergleichbaren Institution vorhandenen engmaschigen Betreuung und intensiven Kontrolle wird ein tadelloses Verhalten eines Insassen dort vielmehr erwartet und lässt gemeinhin keine verlässlichen Rückschlüsse auf das künftige Verhalten einer Person in Freiheit zu (vgl. etwa Urteile des BGer 2C_282/2012 vorerwähnt E. 2.5 und BGer 2C_768/2011 vom 4. Mai 2012 E. 4.3 m.H. oder BGE 137 II 233 E. 5.2.2 S. 136 f.). Der Beschwerdeführer wurde mit Entscheid des Amtes für Justizvollzug des Kantons Basel-Stadt vom 5. Januar 2015 auf den 28. März 2015 hin bedingt aus dem Strafvollzug entlassen. Die seit der Haftentlassung verstrichene Zeit ist - mit Blick auf die verletzten Rechtsgüter - viel zu kurz, als dass dies an der derzeitigen Risikoeinschätzung etwas zu ändern vermag. Hinzu kommt, dass er noch bis zum 28. März 2017 unter dem Druck der Probezeit steht, was ein korrektes Verhalten seinerseits ohnehin nahelegt (siehe Urteil des BGer 2C_888/2012 vom 14. März 2013 E. 4.2.4 m.H.). Aufgrund dessen kann eine schwerwiegende Rückfallgefahr bis auf weiteres nicht als gebannt betrachtet werden.</w:t>
      </w:r>
    </w:p>
    <w:p>
      <w:r>
        <w:rPr>
          <w:b/>
        </w:rPr>
        <w:t>E. 8.8</w:t>
      </w:r>
    </w:p>
    <w:p>
      <w:r>
        <w:t>Damit ist festzustellen, dass der Beschwerdeführer zum heutigen Zeitpunkt eine schwerwiegende Gefahr für die öffentliche Sicherheit und Ordnung darstellt. Das gegen ihn verhängte Einreiseverbot darf damit die Dauer von fünf Jahren gemäss Art. 67 Abs. 3 AuG überschreiten.</w:t>
      </w:r>
    </w:p>
    <w:p>
      <w:r>
        <w:rPr>
          <w:b/>
        </w:rPr>
        <w:t>E. 9.1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9.2</w:t>
      </w:r>
    </w:p>
    <w:p>
      <w:r>
        <w:t>Vom Beschwerdeführer geht wie dargetan (vgl. E. 8.4 - 8.7 oben) nach wie vor eine schwerwiegende Gefahr für die öffentliche Sicherheit und Ordnung aus, weshalb ohne weiteres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Massnahmepraxis zu schützen (vgl. BVGE 2014/20 E. 8.2 m.H.).</w:t>
      </w:r>
    </w:p>
    <w:p>
      <w:r>
        <w:rPr>
          <w:b/>
        </w:rPr>
        <w:t>E. 9.3</w:t>
      </w:r>
    </w:p>
    <w:p>
      <w:r>
        <w:t>Den sich aus den vorstehenden Ausführungen ergebenden öffentlichen Interessen sind die privaten Interessen des Beschwerdeführers gegenüberzustellen. Entgegen der Annahme des Parteivertreters hat die Vorinstanz nicht überhaupt keine Verhältnismässigkeitsprüfung vorgenommen, sondern sie lediglich zu wenig transparent gemacht (siehe E. 4.2 und 4.3 hiervor) und die Interessen der Betroffenen anders gewichtet. Die vorliegende Konstellation erlaubt keine von der vorinstanzlichen Auffassung abweichende Betrachtungsweise. Die persönlichen Beziehungen des Beschwerdeführers zur Schweiz beschränken sich auf seine langjährige Schweizer Lebenspartnerin, die seit Februar 2012 in Biel lebt. Sie war bei den Drogenkurierfahrten - wie angetönt - Mittäterin und vom Appellationsgericht des Kantons Basel-Stadt im selben Urteil der Gehilfenschaft zum Verbrechen nach Art. 19 Ziff. 2 Bst. a und b BetmG für schuldig erklärt worden, was eine bedingte Freiheitsstrafe von zwei Jahren nach sich zog. Vor ihrer Anhaltung Ende März 2011 will sie mit dem Beschwerdeführer in Italien bei dessen Mutter gewohnt haben (siehe Strafurteil vom 27. November 2012 S. 38 und 40). Da Letzterer nie über ein dauerhaftes Aufenthaltsrecht in der Schweiz verfügt hat, sind die mit dem Einreiseverbot als solchem verbundenen Einschränkungen vergleichsweise gering und ohnehin hinzunehmen, zumal diese zur Verhütung von Straftaten und zum Schutz der öffentlichen Sicherheit erforderlich sind (vgl. Art. 8 Abs. 2 EMRK).</w:t>
      </w:r>
    </w:p>
    <w:p>
      <w:r>
        <w:rPr>
          <w:b/>
        </w:rPr>
        <w:t>E. 9.4</w:t>
      </w:r>
    </w:p>
    <w:p>
      <w:r>
        <w:t>Ein Einreiseverbot kann bei einer schwerwiegenden Gefahr für fünf bis fünfzehn Jahre ausgesprochen werden (vgl. BVGE 2014/20 E. 7). Eine wertende Gewichtung der gegenläufigen öffentlichen und privaten Interessen führt das Bundesverwaltungsgericht zum Ergebnis, dass das auf zehn Jahre befristete Einreiseverbot unter Berücksichtigung aller relevanten Beurteilungselemente hier eine verhältnismässige und angemessene Massnahme darstellt.</w:t>
      </w:r>
    </w:p>
    <w:p>
      <w:r>
        <w:rPr>
          <w:b/>
        </w:rPr>
        <w:t>E. 10.1</w:t>
      </w:r>
    </w:p>
    <w:p>
      <w:r>
        <w:t>Zu prüfen bleibt die Rechtmässigkeit der von der Vorinstanz angeordneten Ausschreibung des Einreiseverbots im SIS. In diesem Zusammenhang lässt der Beschwerdeführer vorbringen, mit einer Spanierin verheiratet und im Besitze eines spanischen Aufenthaltstitels zu sein. Ausserdem seien mehrere nahe Angehörige im Schengenraum ansässig.</w:t>
      </w:r>
    </w:p>
    <w:p>
      <w:r>
        <w:rPr>
          <w:b/>
        </w:rPr>
        <w:t>E. 10.2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SGK, Abl. L 105/1 vom 13. April 2006]).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10.3</w:t>
      </w:r>
    </w:p>
    <w:p>
      <w:r>
        <w:t>Wie an anderer Stelle angetönt (siehe E. 5 weiter vorne), kann eine Person, die nicht die Staatsangehörigkeit eines Mitgliedstaates besitzt (Drittstaatsangehörige), im SIS zur Einreise- und Aufenthaltsverweigerung ausgeschrieben werden, wenn die "Angemessenheit, Relevanz und Bedeutung des Falles" eine solche Massnahme rechtfertigen (Art. 2 und 21 SIS-II-Verordnung).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10.4</w:t>
      </w:r>
    </w:p>
    <w:p>
      <w:r>
        <w:t>Der Beschwerdeführer kann als Drittstaatsangehöriger grundsätzlich zur Einreise- bzw. Aufenthaltsverweigerung im SIS ausgeschrieben werden. Die von ihm begangenen Drogendelikte erfüllen zudem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Schweiz nicht nur eigene Interessen zu wahren hat, sondern als Sachwalterin zur Wahrung der Interessen der Ge­samtheit aller Schengen-Staaten verpflichtet ist (zum Ganzen vgl. BVGE 2011/48 E. 6.1 oder Urteil des BVGer C-660/2013 vom 21. April 2015 E. 8.3 m.H.). Im Übrigen wird die Ausschreibung eines Einreiseverbots im SIS periodisch auf seine Berechtigung überprüft und sie gilt überdies nicht für alle europäischen Länder, sondern nur für den Schengen-Raum.</w:t>
      </w:r>
    </w:p>
    <w:p>
      <w:r>
        <w:rPr>
          <w:b/>
        </w:rPr>
        <w:t>E. 10.5</w:t>
      </w:r>
    </w:p>
    <w:p>
      <w:r>
        <w:t>Solange der Beschwerdeführer noch einen Aufenthaltstitel in Spanien besitzt, ist ihm im Falle einer Rückkehr aus der Dominikanischen Republik die Einreise in das Hoheitsgebiet der anderen Mitgliedstaaten zum Zwecke der Durchreise zur Erreichung des Hoheitsgebietes des Mitgliedstaates gestattet, der den Aufenthaltstitel ausgestellt hat (vgl. Art. 5 Abs. 4 Bst. a SGK in der Fassung vom 29. Juni 2013 [vgl. Verordnung EU Nr. 610/2013 vom 26. Juni 2013, Abl. L 182 vom 29. Juni 2013 S. 5]). Das heisst, der Beschwerdeführer kann bei dieser Sachlage nach einem allfälligen Besuch seiner Angehörigen in der Dominikanischen Republik wieder nach Spanien einreisen, sofern er bei dieser Reise nicht durch die Schweiz oder einen Mitgliedstaat reist, wo er allenfalls auf einer nationalen Ausschreibungsliste mit der Anweisung ausgeschrieben ist, ihm die Einreise oder die Durchreise zu verweigern (siehe C-535/2013 E. 8.4.3 in analogiam). Von einem Eingriff in das Führen einer Ehe kann vorliegend aber schon deshalb keine Rede sein, weil der Beschwerdeführer längst eine andere Lebenspartnerin hat, womit sich die Berufung auf die spanische (Noch-) Ehefrau als rechtsmissbräuchlich erweist (vgl. Urteil des BGer 2C_1092/2013 vorerwähnt E. 5.2). Die übrigen, in Italien wohnhaften Verwandten zählen nicht zur Kernfamilie, mit ihnen kann er sich ausserhalb des Schengen-Gebietes treffen. Die Aufrechterhaltung der Ausschreibung im SIS durch die Vorinstanz bis zum Entscheid der spanischen Behörden über die Aufrechterhaltung bzw. den Entzug des Aufenthaltsrechts des Beschwerdeführers ergibt sich im Übrigen aus Art. 25 Abs. 2 SDÜ. Die mit der Ausschreibung verbleibenden Beeinträchtigungen seiner Bewegungsfreiheit hat der Beschwerdeführer in Kauf zu nehmen.</w:t>
      </w:r>
    </w:p>
    <w:p>
      <w:r>
        <w:rPr>
          <w:b/>
        </w:rPr>
        <w:t>E. 11</w:t>
      </w:r>
    </w:p>
    <w:p>
      <w:r>
        <w:t>Aus diesen Erwägungen folgt, dass die angefochtene Verfügung im Lichte von Art. 49 VwVG nicht zu beanstanden ist. Dies gilt auch für die Ausschreibung im SIS, solange Spanien, das von den hiesigen Behörden über die Verurteilung des Beschwerdeführers wegen Drogenhandels orientiert worden ist, beim SIRENE Büro Schweiz kein entsprechendes Löschungsbegehren stellt (vgl. Vernehmlassung mit darin erwähnter Beilage). Die Beschwerde ist deshalb abzuweisen.</w:t>
      </w:r>
    </w:p>
    <w:p>
      <w:r>
        <w:rPr>
          <w:b/>
        </w:rPr>
        <w:t>E. 12.1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Parteivertreter ersuchte jedoch um Gewährung der unentgeltlichen Prozessführung. In der Zwischenverfügung des Bundesverwaltungsgerichts vom 24. März 2015 wurde der Entscheid über das Gesuch betreffend unentgeltlicher Rechtspflege auf einen späteren Zeitpunkt verschoben, weshalb dies nun nachzuholen ist.</w:t>
      </w:r>
    </w:p>
    <w:p>
      <w:r>
        <w:rPr>
          <w:b/>
        </w:rPr>
        <w:t>E. 12.2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w:t>
      </w:r>
    </w:p>
    <w:p>
      <w:r>
        <w:rPr>
          <w:b/>
        </w:rPr>
        <w:t>E. 12.3</w:t>
      </w:r>
    </w:p>
    <w:p>
      <w:r>
        <w:t>Angesichts der betroffenen Rechtsgüter, der Höhe des Strafmasses, des mit Blick auf Fernhaltemassnahmen längst nicht ausgeschöpften zeitlichen Rahmens (BVGE 2014/20 E. 8.2) und der sonstigen Umstände (es ist davon auszugehen, dass der Betroffene selbst bei einer ausreichend begründeten Verfügung rekurriert hätte) sind die Voraussetzungen von Art. 65 Abs. 1 und 2 VwVG mangels hinreichender Erfolgsaussichten nicht erfüllt. Dem Gesuch um unentgeltliche Rechtspflege ist folglich nicht stattzugeben und die Verfahrenskosten sind dem Beschwerdeführer aufzuerlegen.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