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C-987/2006 vom 12. März 2008</w:t>
      </w:r>
    </w:p>
    <w:p>
      <w:r>
        <w:t>Bundesverwaltungsgericht, 2008-03-12, FR</w:t>
      </w:r>
    </w:p>
    <w:p>
      <w:r>
        <w:rPr>
          <w:b/>
        </w:rPr>
        <w:t xml:space="preserve">Quelle: </w:t>
      </w:r>
      <w:r>
        <w:t>https://mcp.opencaselaw.ch/entscheid/bvger_C-987_2006</w:t>
      </w:r>
    </w:p>
    <w:p>
      <w:r>
        <w:t>FR: TAF C-987/2006 du 12 mars 2008</w:t>
      </w:r>
    </w:p>
    <w:p>
      <w:r>
        <w:t>IT: TAF C-987/2006 del 12 marzo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dont l'ODM (art. 33 let. d LTAF). Dans la mesure où le Tribunal administratif fédéral est compétent, il traite les affaires pendantes devant les commissions fédérales de recours ou d'arbitrage ou devant les services de recours des départements au 1er janvier 2007 (art. 53 al. 2 phr. 1 LTAF). En l'occurrence, le recours devant le Tribunal fédéral n'étant pas recevable en raison de la matière (art. 83 let. c ch. 1 de la loi fédérale du 17 juin 2005 sur le Tribunal fédéral [LTF, RS 173.110]), le Tribunal administratif fédéral statue en dernière instance (art. 1 al. 2 LTAF).</w:t>
      </w:r>
    </w:p>
    <w:p>
      <w:r>
        <w:rPr>
          <w:b/>
        </w:rPr>
        <w:t>E. 1.2</w:t>
      </w:r>
    </w:p>
    <w:p>
      <w:r>
        <w:t>L'entrée en vigueur au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De même, l'entrée en vigueur au 1er janvier 2008 de l'art. 91 de l'ordonnance de Conseil fédéral du 24 octobre 2007 relative à l'admission, au séjour et à l'exercice d'une activité lucrative (OASA, RS 142.201) et de l'art. 39 ordonnance du Conseil fédéral du 24 octobre 2007 sur la procédure d'entrée et de visas (OPEV, RS 142.204) a eu pour conséquence l'abrogation de certaines ordonnances d'exécution de l'aLSEE, telles que l'ordonnance du Conseil fédéral du 14 janvier 1998 concernant l'entrée et la déclaration d'arrivée des étrangers (aOEArr de 1998, RO 1998 194) et l'ordonnance du Conseil fédéral du 6 octobre 1986 limitant le nombre des étrangers (aOLE de 1986, RO 1986 1791), notamment. Dès lors que la demande qui est l'objet de la présente procédure de recours a été déposée avant l'entrée en vigueur de la LEtr, l'ancien droit matériel reste toutefois applicable à la présente cause, conformément à la réglementation transitoire prévue à l'art. 126 al. 1 LEtr.</w:t>
      </w:r>
    </w:p>
    <w:p>
      <w:r>
        <w:rPr>
          <w:b/>
        </w:rPr>
        <w:t>E. 1.3</w:t>
      </w:r>
    </w:p>
    <w:p>
      <w:r>
        <w:t>A moins que la LTAF n'en dispose autrement, la procédure devant le Tribunal administratif fédéral est régie par la PA (art. 37 LTAF). B._______ a qualité pour recourir (art. 48 PA). Son recours, présenté dans la forme et les délais prescrits par la loi, est recevable (art. 50 et 52 PA).</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 in Moser/Uebersax, Prozessieren vor eidgenössischen Rekurs-kommissionen, Bâle et Francfort-sur-le-Main 1998, ch. 2.59 ss). Dans sa décision, il prend en considération l'état de fait et de droit régnant au moment où il statue (ATF 129 II 215 consid. 1.2, publication partielle de l'arrêt du Tribunal fédéral 2A.451/2002 du 28 mars 2003), sous réserve du considérant 1.2 ci-dessus.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du règlement d'exécution du 1er mars 1949 de la loi fédérale sur le séjour et l'établissement des étrangers [aRSEE de 1949, RO 1949 I 232]). Pour les autorisations, les autorités doivent tenir compte des intérêts moraux et économiques du pays, ainsi que du degré de surpopulation étrangère (art. 16 al. 1 aLSEE).</w:t>
      </w:r>
    </w:p>
    <w:p>
      <w:r>
        <w:rPr>
          <w:b/>
        </w:rPr>
        <w:t>E. 4</w:t>
      </w:r>
    </w:p>
    <w:p>
      <w:r>
        <w:t>Sous réserve de dispositions différentes, tout étranger doit être muni, pour entrer en Suisse, d'un passeport et d'un visa (art. 1 al. 1 aOEArr).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aOEArr). Le visa est refusé lorsque l'étranger ne remplit pas les conditions d'entrée prévues à l'article premier (art. 14 al. 1 aOEArr).</w:t>
      </w:r>
    </w:p>
    <w:p>
      <w:r>
        <w:rPr>
          <w:b/>
        </w:rPr>
        <w:t>E. 5</w:t>
      </w:r>
    </w:p>
    <w:p>
      <w:r>
        <w:t>Il appartient aux autorités suisses de maintenir un équilibre entre la population suisse et la population étrangère résidante (art. 1 let. a aOLE). Elles ne peuvent ainsi accueillir tous les étrangers qui désirent venir dans ce pays, que ce soit pour des séjours de courte ou de longue durée et peuvent donc légitimement appliquer une politique restrictive d'admission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(art. 1 al. 2 let. c et art. 14 al. 1 aOEArr). En outre, il y a lieu de souligner à cet égard que l'ordre juridique suisse ne garantit aucun droit ni quant à l'entrée en Suisse, ni quant à l'octroi d'un visa (art. 4 aLSEE en relation avec l'art. 9 al. 1 aOEArr ; Philip Grant, La protection de la vie familiale et de la vie privée en droit des étrangers, Bâle/Genève/Munich 2000, p. 24 ; Peter Uebersax, Einreise und Anwesenheit in: Uebersax/Münch/Geiser/Arnold, Ausländerrecht, Bâle/Genève/Munich 2002, n. 5.28ss ; Urs Bolz, Rechtsschutz im Ausländer- und Asylrecht, Bâle et Francfort sur le Main, 1990, p. 143).</w:t>
      </w:r>
    </w:p>
    <w:p>
      <w:r>
        <w:rPr>
          <w:b/>
        </w:rPr>
        <w:t>E. 6</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Il est à noter que lorsque l'autorité examine si l'étranger présente les garanties nécessaires en vue d'une sortie de Suisse dans les délais impartis (au sens de l'art. 1 al. 2 let. c aOEArr),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aOEArr.</w:t>
      </w:r>
    </w:p>
    <w:p>
      <w:r>
        <w:rPr>
          <w:b/>
        </w:rPr>
        <w:t>E. 7</w:t>
      </w:r>
    </w:p>
    <w:p>
      <w:r>
        <w:t>Sans pour autant minimiser les raisons d'ordre essentiellement familial et affectif qui motivent la demande de A._______, le Tribunal administratif fédéral ne saurait cependant admettre, au vu de l'ensemble des éléments du dossier, que son retour au Bangladesh au terme de l'autorisation demandée soit suffisamment garanti. L'expérience a démontré à de nombreuses reprises que, dès le moment où les bénéficiaires d'autorisations d'entrée se trouvent en Suisse, ils ne songent plus à retourner dans leur patrie ou dans leur pays de résidence, et que, nonobstant leur engagement à quitter le territoire à l'échéance de l'autorisation, ils n'hésitent pas à utiliser tous les moyens juridiques mis à leur disposition pour prolonger leur séjour dans ce pays. Il n'est pas rare, en effet, que des personnes, entrées en Suisse pour motif de visite, mettent à profit leur séjour pour y entreprendre des études, y cherche un emploi ou y demeurer à un titre quelconque. Une demande d'autorisation d'entrée pour tourisme ou visite peut ainsi représenter un moyen détourné de faciliter la venue en Suisse de personnes désirant en réalité s'y établir durablement.</w:t>
      </w:r>
    </w:p>
    <w:p>
      <w:r>
        <w:rPr>
          <w:b/>
        </w:rPr>
        <w:t>E. 7.1</w:t>
      </w:r>
    </w:p>
    <w:p>
      <w:r>
        <w:t>Tel qu'il ressort de l'ensemble des pièces du dossier, A._______ n'exerce aucun emploi et son fils et sa fille, qui ont respectivement dix sept et vingt et un ans, sont en âge de vivre hors du giron maternel, de sorte que de ce point de vue, elle serait à même de se créer une nouvelle existence hors du Bangladesh sans que cela n'entraîne pour elle des difficultés insurmontables. Cela est d'autant plus vrai que sa fille est mariée depuis peu et qu'elle vit à Dhaka avec son époux où ce dernier exploite deux commerces actifs dans le domaine des télécommunications. Cela étant, le fait que la requérante soit elle-même mariée et que son époux dispose de deux sources de revenu - soit son emploi d'enseignant et les terres qu'il exploite ou fait exploiter - peut certes être considéré comme un élément parlant en faveur de son départ de Suisse à l'échéance du visa sollicité. Il sied toutefois de constater, au vu de l'expérience générale, que de tels liens sont parfois insuffisants pour inciter une personne à retourner dans son pays de résidence et, souvent, ne l'emportent pas sur la perspective d'un séjour prolongé au-delà de l'échéance de l'autorisation d'entrée octroyée. De plus, il a pu être constaté à de réitérées reprises qu'une personne vivant dans une unité familiale partageant jusqu'alors le même destin n'hésite parfois pas à se séparer momentanément, nonobstant une vie familiale heureuse, et ce que le membre parti tente de s'installer à demeure en Suisse et faire venir ceux qui sont restés au pays par le biais du regroupement familial ou qu'il prolonge simplement son séjour en Suisse plus longtemps que ce qui a été originellement autorisé.</w:t>
      </w:r>
    </w:p>
    <w:p>
      <w:r>
        <w:rPr>
          <w:b/>
        </w:rPr>
        <w:t>E. 7.2</w:t>
      </w:r>
    </w:p>
    <w:p>
      <w:r>
        <w:t>De plus, le Tribunal administratif fédéral ne saurait exclure dans le cas particulier qu'après son arrivée sur le territoire helvétique, A._______, compte tenu de sa situation personnelle, soit tentée de demeurer en Suisse, ne serait-ce que temporairement. En effet, d'une part, il convient de rappeler que, selon les déclarations faites par la requérante à l'Ambassade de Suisse à Dhaka, elle désirait initialement venir en Suisse afin de permettre à sa soeur, qui venait de mettre un enfant au monde, de reprendre son activité lucrative. Dans la mesure où l'intéressée n'a plus d'obligations familiales au Bangladesh, le risque qu'elle prolonge son séjour en Suisse pour continuer de s'occuper de l'enfant ne peut être écarté. D'autre part, au vu de la situation difficile prévalant au Bangladesh, notamment sur le plan socio-économique, l'intéressée aurait tout loisir, à l'échéance de son visa, d'engager des formalités administratives en vue de s'installer en Suisse. Il ne faut en effet pas perdre de vue que les conditions économiques prévalant en Suisse sont sensiblement supérieures à celles que connaît le Bangladesh et que cette différence de niveau de vie peut s'avérer déterminante lorsque s'impose le choix de retourner dans son pays d'origine ou de prolonger son séjour Suisse.</w:t>
      </w:r>
    </w:p>
    <w:p>
      <w:r>
        <w:rPr>
          <w:b/>
        </w:rPr>
        <w:t>E. 7.3</w:t>
      </w:r>
    </w:p>
    <w:p>
      <w:r>
        <w:t>Le recourant a certes fait part de son intention de voir A._______ quitter la Suisse à la fin de son éventuel séjour en Suisse. Bien que le Tribunal administratif fédéral n'entende en aucune manière mettre en cause la bonne foi ou l'honnêteté des personnes qui, résidant sur le territoire helvétique, ont invité des tiers domiciliés à l'étranger et se sont engagés à garantir la sortie de Suisse de leurs invités, force est toutefois d'admettre que de telles assurances ne permettent pas de conclure à la certitude d'un départ à l'échéance d'un éventuel visa. En effet, de telles déclarations d'intention n'engagent pas les personnes invitées, qui conservent d'ailleurs seules la maîtrise de leur comportement. De même, l'intention que peut manifester une personne à retourner dans son pays au terme du séjour envisagé, voire son engagement formel à le faire, n'a aucune force juridique et ne saurait empêcher, par exemple, le dépôt d'une demande d'autorisation de séjour auprès des autorités cantonales de police des étrangers.</w:t>
      </w:r>
    </w:p>
    <w:p>
      <w:r>
        <w:rPr>
          <w:b/>
        </w:rPr>
        <w:t>E. 7.4</w:t>
      </w:r>
    </w:p>
    <w:p>
      <w:r>
        <w:t>Au vu de ce qui précède, le Tribunal de céans doit constater que la sortie de Suisse de A._______ au terme du séjour envisagé n'est pas suffisamment assurée, de sorte que cette condition préalable à l'octroi d'une autorisation d'entrée sur le territoire helvétique n'est pas remplie en l'occurrence. Cela étant, le souhait de l'intéressée, au demeurant parfaitement compréhensible, de rendre visite au recourant ne saurait justifier, compte tenu des motifs exposés ci-dessus, à lui seul l'admission du recours, et cela d'autant moins que B._______ et son épouse peuvent tout à fait trouver une solution d'accueil pour leur enfant dans la région où ils habitent, nonobstant les inconvénients d'ordre pratique ou financier que cela pourrait engendrer.</w:t>
      </w:r>
    </w:p>
    <w:p>
      <w:r>
        <w:rPr>
          <w:b/>
        </w:rPr>
        <w:t>E. 8</w:t>
      </w:r>
    </w:p>
    <w:p>
      <w:r>
        <w:t>Dans sa réplique à la réponse au recours de l'ODM, B._______soulève, sans avancer ni proposer de moyen de preuve à cet égard, le grief de la violation du principe de l'égalité de traitement en exposant que de nombreux Bangladais dans une situation moins enviable que A._______ ont obtenu des autorisations d'entrée en Suisse. Une décision viole le principe de l'égalité de traitement (art. 8 de la Constitution fédérale de la Confédération suisse du 18 avril 1999 [Cst.,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V 107 consid. 3.4.2, 129 I 113 consid. 5.1.). A titre liminaire le Tribunal administratif fédéral observe que, même si elles n'ont pas - à proprement parler - la charge de la preuve des faits (ATF 115 V 133 consid. 8a), les parties sont néanmoins tenues de collaborer à la recherche des preuves, conformément à l'art. 13 PA (arrêt du Tribunal administratif fédéral du 26 novembre 2007 C-1223/2006 consid. 9). En particulier, il incombe au recourant, lorsque les preuves font défaut ou si l'on ne peut raisonnablement exiger de l'autorité qu'elle les recueille, et lorsqu'il attend un avantage de la décision, de fournir, en vertu de la règle générale sur le fardeau de la preuve inscrite à l'art. 8 du Code civil suisse du 10 décembre 1907 (CC, RS 210), le preuves de son droit, à défaut de quoi il en supporte les conséquences (ATF 125 V 193 consid. 2, 122 II 382 consid. 4c/cc, 114 Ia 1 consid. 8c, 112 Ib 65 consid. 3 ; Jurisprudence des autorités administratives de la Confédération [JAAC] 69.52 consid. 3.2 ; Pierre Moor, Droit administratif, vol. II, 2e éd., Berne 2002 p. 260 ; André Grisel, Traité de droit administratif, vol. II, Neuchâtel 1984, p. 929 ; Blaise Knapp, Précis de droit administratif, Bâle/Francfort-sur-le-Main 1991, p. 419). Or, en l'occurrence, le recourant n'a fourni aucune indication permettant au Tribunal administratif fédéral de se façonner une image de la similitude du cas de A._______ d'avec ceux des autres Bangladais qu'il évoque. En statuant dans le cas d'espèce, il s'agit d'examiner si les conditions régissant l'octroi d'une autorisation d'entrée en Suisse sont données, ce qui dépend des circonstances de chaque cas. Or, même si les personnes auxquelles le recourant se réfère avaient bénéficié d'un traitement non conforme à la lettre et à l'esprit de l'aOEArr, nul ne saurait invoquer le principe de l'égalité de traitement pour bénéficier d'une faveur illégalement accordée à un tiers. Un droit à l'égalité est néanmoins reconnu à certaines conditions cumulatives. Ainsi, faut-il, entre autres, que l'on puisse s'attendre de l'autorité compétente qu'elle persistera dans l'inobservance du droit (ATF 127 II 113 consid. 9, 126 II 106 consid. 5c ; Revue suisse de jurisprudence [RSJ] 2004 442). Or, il a démontré que par la décision entreprise, l'ODM avait appliqué correctement la loi, respectivement le droit, et qu'il n'y a pas de raison de penser que sa pratique n'est pas constante.</w:t>
      </w:r>
    </w:p>
    <w:p>
      <w:r>
        <w:rPr>
          <w:b/>
        </w:rPr>
        <w:t>E. 9</w:t>
      </w:r>
    </w:p>
    <w:p>
      <w:r>
        <w:t>Compte tenu des considérants exposés ci-dessus, il appert que, par sa décision du 2 octobre 2006, l'ODM n'a ni violé le droit fédéral, ni constaté des faits pertinents de manière inexacte ou incomplète; en outre, cette décision n'est pas inopportune (art. 49 PA). En conséquence, le recours est rejeté. Vu l'issue de la cause, il y a lieu de mettre, conformément à l'art. 63 al. 1 PA, les frais de procédure à la charge du recourant, en application des art. 1, 2 et 3 let. b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