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C-986/2009 vom 22. März 2011</w:t>
      </w:r>
    </w:p>
    <w:p>
      <w:r>
        <w:t>Bundesverwaltungsgericht, 2011-03-22, FR</w:t>
      </w:r>
    </w:p>
    <w:p>
      <w:r>
        <w:rPr>
          <w:b/>
        </w:rPr>
        <w:t xml:space="preserve">Quelle: </w:t>
      </w:r>
      <w:r>
        <w:t>https://mcp.opencaselaw.ch/entscheid/bvger_C-986_2009</w:t>
      </w:r>
    </w:p>
    <w:p>
      <w:r>
        <w:t>FR: TAF C-986/2009 du 22 mars 2011</w:t>
      </w:r>
    </w:p>
    <w:p>
      <w:r>
        <w:t>IT: TAF C-986/2009 del 22 marzo 2011</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w:t>
      </w:r>
    </w:p>
    <w:p>
      <w:r>
        <w:t>L'examen du droit aux prestations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Par conséquent, les dispositions de la 5ème révision de la LAI entrées en vigueur le 1er janvier 2008 sont ap­plicables.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taux d'invalidité inférieur à 50% ne sont versées qu'aux assurés qui ont leur domicile et leur résidence habituelle en Suisse (art. 29 al. 4 LAI). Depuis l'entrée en vigueur de l'ALCP, les ressortissants suisses et de l'Union européenne qui présentent un taux d'invalidité de 40% au moins, ont droit à un quart de rente en application de l'art. 28 al. 2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ATF 125 V 369 consid. 2 et ATF 112 V 372 consid. 2).</w:t>
      </w:r>
    </w:p>
    <w:p>
      <w:r>
        <w:rPr>
          <w:b/>
        </w:rPr>
        <w:t>E. 6.1</w:t>
      </w:r>
    </w:p>
    <w:p>
      <w:r>
        <w:t>En application de l'art. 53 al. 1 LPGA, par analogie avec la révision des décisions rendues par les autorités judiciaires, l'administration est tenue de procéder à la révision d'une décision entrée en force lorsque sont découverts des faits nouveaux ou de nouveaux moyens de preuve, susceptibles de conduire à une appréciation juridique différente. Conformément à l'art. 53 al. 2 LPGA, l'administration (ou l'assureur) peut reconsidérer une décision formellement passée en force de chose décidée et sur laquelle une autorité judiciaire ne s'est pas prononcée quant au fond, à condition qu'elle soit sans nul doute erronée et que sa rectification revête une importance notable (cf. ATF 125 V 368; 122 V 21 consid. 3a, 173 consid. 4a, 271 consid. 2, 368 consid. 3; 121 V 4 consid. 6; 119 V 183 consid. 3a, 477 consid. 1a; 117 V 12 consid. 2a).</w:t>
      </w:r>
    </w:p>
    <w:p>
      <w:r>
        <w:rPr>
          <w:b/>
        </w:rPr>
        <w:t>E. 6.2</w:t>
      </w:r>
    </w:p>
    <w:p>
      <w:r>
        <w:t>Pour juger s'il est admissible de reconsidérer une décision, au motif qu'elle est sans nul doute erronée, il faut se fonder sur la situation juridique existant au moment où cette décision a été rendue, compte tenu de la pratique en vigueur à l'époque (ATF 125 V 383 consid. 3). Par le biais de la reconsidération, une application initiale erronée du droit, de même qu'une constatation erronée des faits peuvent être corrigées (arrêt du Tribunal fédéral 9C_71/2008 du 14 mars 2008). Un motif de reconsidération n'entre en ligne de compte que si la décision initiale apparaît manifestement erronée à la lumière des exigences valables à l'époque de son prononcé et non pas à l'aune de critères plus restrictifs actuels (voir l'arrêt du Tribunal fédéral 9C_45/2007 du 25 septembre 2007 consid. 3.2 et l'ATF 130 V 352). Un changement de pratique ou de jurisprudence ne saurait en principe justifier une reconsidération (ATF 135 V 215 consid. 5.1.1, 129 V 200 consid. 1.2).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approfondi des faits.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(arrêts du Tribunal fédéral 9C_71/2008 du 14 mars 2008 consid. 2; 9C_575/2007 du 18 octobre 2007 consid. 2.2; I 907/2006 du 7 mai 2007 consid. 3.2.1). En d'autres termes, en présence d'un rapport fiable à la base de la décision prise, le juge ne saurait remettre en cause l'appréciation de l'auteur de l'enquête ou de l'examen que s'il est évident que le document en question repose sur des erreurs manifestes (ATF 128 V 93; arrêt du Tribunal fédéral 9C_693/2007 du 2 juillet 2008 consid. 3). Par ailleurs, il n'y a pas lieu de supprimer ou diminuer une rente par voie de reconsidération si, depuis son octroi manifestement inexact, des modifications de l'état de fait au sens de l'art. 17 LPGA justifient de retenir un taux d'invalidité suffisant pour que la prestation en cause soit maintenue (arrêt du Tribunal fédéral I 222/02 du 19 décembre 2002 consid. 5.1).</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l'assurance-invalidité. Elle implique, d'une part, un certain équilibre entre l'offre et la demande de main d'oeuvre et, d'autre part, un marché du travail structuré de telle sorte qu'il offre un éventail d'emplois diversifiés.</w:t>
      </w:r>
    </w:p>
    <w:p>
      <w:r>
        <w:rPr>
          <w:b/>
        </w:rPr>
        <w:t>E. 7.2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8</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9.1</w:t>
      </w:r>
    </w:p>
    <w:p>
      <w:r>
        <w:t>Le litige porte sur la question de savoir si l'OAIE était fondé, par sa décision du 13 janvier 2009, à supprimer à partir du 1er mars 2009 la rente entière d'invalidité dont bénéficiait la recourante depuis le 1er avril 1996 au motif d'une reconsidération de la décision du 5 mai 1999 qualifiée de manifestement erronée.</w:t>
      </w:r>
    </w:p>
    <w:p>
      <w:r>
        <w:rPr>
          <w:b/>
        </w:rPr>
        <w:t>E. 9.2</w:t>
      </w:r>
    </w:p>
    <w:p>
      <w:r>
        <w:t>Dans leur rapport d'expertise du 28 mai 1997 les Drs C._______ et D._______ de la Permanence de Longeraie firent état d'un status sans atrophie musculaire de la ceinture scapulaire et des membres supérieurs, de douleurs dès la mise à contribution de la main droite, d'une discrète tuméfaction de l'ensemble de la main droite sans autres manifestions, d'une diminution de force de 50% et de fatigabilité accrue de la main droite. Ils estimèrent la capacité de travail résiduelle de l'intéressée à 50% dans son activité agricole avec possibilité de lente amélioration. Dans un rapport médical du 18 février 1998 le Dr B._______, médecin traitant, fit état pour l'essentiel d'un diagnostic semblable sous réserve d'une suspicion de tunnel carpien gauche et nota la persistance de douleurs invalidantes au membre supérieur gauche. Dans un rapport médical daté du 26 février 1998 le Dr E._______, chirurgie de la main, retint une incapacité de travail de 50% posant le diagnostic de diminution de force et fatigabilité accrue de la main droite d'origine indéterminée et de status après synovectomie des fléchisseurs dans le canal carpien droit. Le 6 novembre 1998 le Dr B._______ attesta d'une incapacité de travail de 100% à dater du 6 novembre 1998 pour une durée indéterminée mais d'au moins 4 semaines, relevant un syndrome douloureux sérieux dont le traitement s'avérait beaucoup plus difficile qu'imaginé. Parallèlement trois tentatives d'évaluation de la capacité de travail de l'intéressée fin 1997 et en 1998 durent être interrompues à brève échéance avec accord médical en raison de douleurs à la main droite. Sur cette base, à la fois médicale, fondant une incapacité de travail de 50% dans l'activité antérieure, laquelle était relativement contraignante, et de constatations d'échec des tentatives de reprise d'un travail adapté, ou qui dut l'être, la décision d'octroi d'une rente à 100% a été prise par l'OAI-FR.</w:t>
      </w:r>
    </w:p>
    <w:p>
      <w:r>
        <w:rPr>
          <w:b/>
        </w:rPr>
        <w:t>E. 9.3</w:t>
      </w:r>
    </w:p>
    <w:p>
      <w:r>
        <w:t>Sur le plan médical il est vraisemblable que l'octroi d'une rente entière ne se justifiait pas sur la base des rapports médicaux existant. Certes, compte tenu de l'échec de la réinsertion professionnelle, la reprise d'une activité lucrative était difficile. Toutefois, il sied de relever que les rapports à disposition de l'administration lors de la demande de rente, étaient contradictoires et qu'il aurait été indispensable de compléter l'instruction. En effet, d'une part, le rapport du 28 mai 1997 retenait une capacité de travail résiduelle de 50%. D'autre part, le Dr B._______ a attesté une incapacité de travail de 100% dans un rapport du 6 novembre 1998 pour une durée de 4 semaines. Ce rapport est relativement succinct, néanmoins une incapacité de travail complète pouvait se justifier, en tout cas provisoirement. L'Office AI cantonal n'a pas non plus éclairci quelles activités de substitution étaient encore accessibles à l'assurée. Les trois stages CEPAI que la recourante a suivi sont tous antérieurs au rapport du 6 novembre 1998 du Dr B._______ et à cette date il est patent que l'état de santé de l'intéressée ne s'était pas encore stabilisé. En ces circonstances, des investigations complémentaires auraient dû être entreprises non seulement pour évaluer la capacité de travail de l'intéressée du point de vue médicale mais aussi pour apprécier sa capacité de reprendre une activité de substitution. Au vu de ces lacunes, la décision du 5 mai 1999 peut être qualifiée de manifestement erronée.</w:t>
      </w:r>
    </w:p>
    <w:p>
      <w:r>
        <w:rPr>
          <w:b/>
        </w:rPr>
        <w:t>E. 9.4</w:t>
      </w:r>
    </w:p>
    <w:p>
      <w:r>
        <w:t>Même si les conditions pour procéder à une reconsidération sont remplies, il n'y a pas lieu de supprimer la rente sans préalablement vérifier quelle était la capacité de travail de l'intéressée à la date de la décision attaquée. En effet, il se peut que son état de santé se soit entre temps aggravé justifiant ainsi le droit à une rente (voir ci-dessus consid. 6.2 in fine). L'intéressée a été examinée à la Clinique romande de réadaptation du 15 au 17 janvier 2008. Le Dr F._______ dans son rapport de synthèse du 2 avril 2008 ne retint pas d'amélioration de l'état de santé ni de diagnostic ayant une répercussion sur la capacité de travail et ne nota sur le plan objectif aucun élément somatique pouvant expliquer un comportement d'invalide avec le port en permanence d'attelles de protection aux deux poignets, la limitation d'utilisation du membre supérieur droit et la rigidité globale qui transparaissait dans la démarche. Il précisa qu'une amélioration de l'état de santé n'avait pas été mise en évidence par rapport aux dossiers antérieurs, mais plutôt un status quo sans étiologie somatique fixe cristallisé en raison de la personnalité de l'assurée empêchant toute réadaptation professionnelle mais permettant néanmoins à l'intéressée d'effectuer à 50% des tâches simples et légères et à 80% ses activités ménagères, ces taux tenant compte de la fatigabilité et de la baisse de rendement observée aux ateliers professionnels. Se référant aux résultats des observations en ateliers professionnels, le Dr F._______ releva notamment une qualité de travail faible, l'impossibilité d'effectuer des tâches lourdes, de l'autolimitation par crainte d'avoir mal, un comportement d'invalide caractérisé par les traits de caractère de l'assurée de nature particulièrement dépendante. Il nota un pronostic très défavorable quant à la possibilité d'atteindre la capacité de travail résiduelle énoncée. Cette appréciation du status de l'intéressée est confirmée par le rapport du Dr G._______ du 5 juin 2009 qui est ultérieur à la décision attaquée mais qui se rapporte à l'état de santé de l'intéressée au moment de la décision dont est recours (sur la possibilité de prendre en considération une expertise postérieure à la date de la décision attaquée voir ATF 130 V 138 consid. 2.1). Sur la base du diagnostic connu de l'assurée, le Dr G._______ retient une capacité de travail de 50% à brève échéance passant à une incapacité de travail de 100% dès la sollicitation quelque peu marquée des membres supérieurs de l'intéressée de sorte que de son avis une incapacité de travail moyenne de 75% doit être retenue.</w:t>
      </w:r>
    </w:p>
    <w:p>
      <w:r>
        <w:rPr>
          <w:b/>
        </w:rPr>
        <w:t>E. 9.5</w:t>
      </w:r>
    </w:p>
    <w:p>
      <w:r>
        <w:t>Il s'ensuit de ce qui précède, compte tenu des doutes majeurs du Dr F._______ quant à la possibilité pour l'assurée de parvenir à exploiter une capacité de travail résiduelle théorique de 50% et de l'avis du Dr G._______, qu'une capacité de travail de 50% - comme retenu par l'OAIE - n'est pas établie sur le long terme. D'ailleurs, les conclusions de l'expertise du Dr F._______ apparaissent contradictoires lorsqu'il relève l'impossibilité de toute réadaptation professionnelle, tout en admettant une capacité de travail résiduelle de 50%. À la date de la décision attaquée, il n'est pas possible de retenir une quelconque capacité de travail sans procéder à de plus approfondies investigations spécifiant la réelle capacité résiduelle de travail de l'intéressée. Celle-ci présente en effet toujours un statut d'invalide cristallisé et de douleurs aux membres supérieurs l'invalidant en cas de sollicitation. Il appert dès lors que le dossier doit être retourné à l'autorité inférieure afin qu'elle examine de façon approfondie la capacité de travail de l'assurée en procédant à des investigations médicales complémentaires. Vu ce qui précède le recours doit être partiellement admis, la décision annulée et le dossier retourné à l'OAIE afin qu'il rende une nouvelle décision.</w:t>
      </w:r>
    </w:p>
    <w:p>
      <w:r>
        <w:rPr>
          <w:b/>
        </w:rPr>
        <w:t>E. 10.1</w:t>
      </w:r>
    </w:p>
    <w:p>
      <w:r>
        <w:t>La recourante ayant eu partiellement gain de cause il n'est pas perçu de frais de procédure et l'avance de frais versée de Fr. 300.- lui est restituée.</w:t>
      </w:r>
    </w:p>
    <w:p>
      <w:r>
        <w:rPr>
          <w:b/>
        </w:rPr>
        <w:t>E. 10.2</w:t>
      </w:r>
    </w:p>
    <w:p>
      <w:r>
        <w:t>La recourante ayant agi en étant représentée, il lui est alloué une indemnité globale de dépens à charge de l'autorité inférieure de Fr. 3'000.- (art. 64 al. 1 PA et art. 7 ss du règlement du 21 février 2008 concernant les frais, dépens et indemnités fixés par le Tribunal administratif fédéral [FITAF, RS 173.320.2]), compte tenu de l'issue du recours, de la difficulté de la cause ainsi que du travail effectué par l'avocat.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