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C-984/2017 vom 19. Juni 2017</w:t>
      </w:r>
    </w:p>
    <w:p>
      <w:r>
        <w:t>Bundesverwaltungsgericht, 2017-06-19, DE</w:t>
      </w:r>
    </w:p>
    <w:p>
      <w:r>
        <w:rPr>
          <w:b/>
        </w:rPr>
        <w:t xml:space="preserve">Quelle: </w:t>
      </w:r>
      <w:r>
        <w:t>https://mcp.opencaselaw.ch/entscheid/bvger_C-984_2017</w:t>
      </w:r>
    </w:p>
    <w:p>
      <w:r>
        <w:t>FR: TAF C-984/2017 du 19 juin 2017</w:t>
      </w:r>
    </w:p>
    <w:p>
      <w:r>
        <w:t>IT: TAF C-984/2017 del 19 giugno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12. Januar 2017, mit der die Vorinstanz dem Beschwerdeführer eine ganze Rente vom 1. Januar 2011 bis 30. November 2011 und eine halbe Rente vom 1. Dezember 2011 bis 30. Juni 2012 zugesprochen hat. Der Umstand, dass die Vorinstanz die rückwirkend abgestufte und befristete Rente in zwei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(vgl. BGE 131 V 164 E. 2.3.2 und 2.3.4). Der Beschwerdeführer geht daher zu Recht von einer angefochtenen Verfügung aus. Im Rahmen ihrer Vernehmlassung hat die Vorinstanz zwar gemäss dem Antrag des Beschwerdeführers einen unbefristeten Anspruch auf eine halbe Rente über den 30. Juni 2012 hinaus anerkannt, die angefochtene Verfügung jedoch nicht in Anwendung von Art. 58 Abs. 1 VwVG in Wiedererwägung gezogen. Deshalb ist im Folgenden über den Rentenanspruch des Beschwerdeführers zu entscheiden.</w:t>
      </w:r>
    </w:p>
    <w:p>
      <w:r>
        <w:rPr>
          <w:b/>
        </w:rPr>
        <w:t>E. 3.1</w:t>
      </w:r>
    </w:p>
    <w:p>
      <w:r>
        <w:t>Der Beschwerdeführer ist portugiesischer Staatsangehöriger und wohnt heute in Portugal.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 Urteil des BGer 8C_707/2014 vom 19. Januar 2015 E. 2).</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12. Januar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gemäss Urteil des BVGer C-5233/2013 vom 10. Oktober 2014 die dreijährige Beitragspflicht erfüllt.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6.1</w:t>
      </w:r>
    </w:p>
    <w:p>
      <w:r>
        <w:t>Aktenmässig belegt und unbestritten ist, dass der Beschwerdeführer seit dem Arbeitsunfall am 27. Oktober 2009, wobei er sich bei einem Sturz aus einer Höhe von rund viereinhalb Metern ein Schädel-Hirn-Trauma, Frakturen im Gesicht, eine Radiusfraktur rechts und eine Radiusköpfchenfraktur links zugezogen hat (IV-act. 7.3), in seiner angestammten Tätigkeit als Bauarbeiter nicht mehr arbeitsfähig ist. Dr. med. B._______ vom medizinischen Dienst der Vorinstanz hat in seiner Stellungnahme vom 27. November 2011 (IVSTA-act. 25) schlüssig und nachvollziehbar ausgeführt, dass die anlässlich des Sturzes erlittene Radiusfraktur rechts zu einer Arthrose der Handwurzel geführt habe, welche laut handchirurgischem Gutachten von Prof. Dr. med. C._______ vom 26. Oktober 2011 (SUVA-act. 159) nur noch Tätigkeiten zulasse, welche keine Belastung für das rechte Handgelenk darstellten und die vermehrte Pausen ermögliche. Die Ausübung seiner angestammten Tätigkeit als Bauarbeiter sei ihm deshalb seit dem Tag des Unfalls (27. Oktober 2009) nicht mehr zumutbar.</w:t>
      </w:r>
    </w:p>
    <w:p>
      <w:r>
        <w:rPr>
          <w:b/>
        </w:rPr>
        <w:t>E. 6.2</w:t>
      </w:r>
    </w:p>
    <w:p>
      <w:r>
        <w:t>Was die Arbeitsfähigkeit des Beschwerdeführers in einer leidensangepassten Tätigkeit anbelangt, so ging die Vorinstanz bei Erlass der angefochtenen Verfügung gestützt auf die Einschätzung von Dr. med. B._______ von einer Einschränkung von 100 % von 27. Oktober 2009 bis 16. August 2011, von 40 % von 17. August 2011 bis 6. März 2012 und von 20 % ab 7. März 2012 aus. Dementsprechend hat die Vorinstanz mit Einkommensvergleich vom 5. Dezember 2012 einen Invaliditätsgrad von 100 % von 27. Oktober 2009, von 52 % ab 17. August 2011 und von 36 % ab 7. März 2012 ermittelt (IVSTA-act. 26), was zum Anspruch auf eine ganze Rente vom 1. Januar 2011 bis 30. November 2011 und auf eine halbe Rente vom 1. Dezember 2011 bis 30. Juni 2012 führte. Demgegenüber machte der Beschwerdeführer in seiner Beschwerde unter Hinweis auf das Urteil des kantonalen Versicherungsgerichts vom 25. September 2014 geltend, dass ihm wegen der Beschwerden der rechten Hand eine angepasste Tätigkeit nur noch zu 60 % zumutbar sei und ihm deshalb auch über den 30. Juni 2012 hinaus eine unbefristete Rente auf der Grundlage eines Invaliditätsgrades von mindestens 50 % auszurichten sei.</w:t>
      </w:r>
    </w:p>
    <w:p>
      <w:r>
        <w:rPr>
          <w:b/>
        </w:rPr>
        <w:t>E. 6.3</w:t>
      </w:r>
    </w:p>
    <w:p>
      <w:r>
        <w:t>Nunmehr liegen übereinstimmende Anträge der Parteien auf Ausrichtung einer halbe Rente über den 30. Juni 2012 hinaus vor. In ihrer Vernehmlassung vom 20. April 2017 hat die Vorinstanz in Abweichung von ihrer ursprünglichen Beurteilung eine Arbeitsunfähigkeit von 40 % in Verweistätigkeiten ab 17. August 2011 (über den 7. März 2012 hinaus) anerkannt und einen Invaliditätsgrad von 100 % ab 27. Oktober 2010 und von 51 % ab 17. August 2011 ermittelt. Der Beschwerdeführer hat diese Einschätzung ausdrücklich akzeptiert. Die Vorinstanz stützt sich auf die nachvollziehbare und schlüssige Stellungnahme von Dr. med. D._______ vom medizinischen Dienst vom 29. März 2017, die in Kenntnis der vollständigen Aktenlage erfolgte. Die IV-Ärztin hat sich der Einschätzung des kantonalen Versicherungsgerichts angeschlossen, welches im unfallversicherungsrechtlichen Verfahren gestützt auf das handchirurgische Teilgutachten von Prof. Dr. med. C._______ vom 26. Oktober 2011 die Arbeitsfähigkeit in Verweistätigkeiten auf 60 % festgesetzt hat. Sie hat überdies festgehalten, dass diese Einschätzung auch in Bezug auf alle - auch die nicht unfallversicherungsrelevanten - geklagten Beschwerden gelte. Hinsichtlich des Eintritts der Arbeitsfähigkeit von 60 % hat die Vorinstanz nicht auf die Einschätzung der IV-Ärztin abgestellt. Die Vorinstanz hat nachvollziehbar dargelegt, dass hierfür nicht der von der IV-Ärztin genannte 1. September 2012, sondern das Datum der Untersuchung durch Prof. Dr. med. C._______ (17. August 2011) massgebend ist. Das Bundesverwaltungsgericht kann sich der übereinstimmenden Auffassung der Parteien, wonach eine Einschränkung der Arbeitsfähigkeit des Beschwerdeführers in einer angepassten Tätigkeit von 40 % ab 17. August 2011 besteht, aufgrund der Rechts- und Sachlage anschliessen. Der neue Einkommensvergleich vom 13. April 2017 ist ebenfalls unbestritten und gibt zu keinen Bemerkungen Anlass.</w:t>
      </w:r>
    </w:p>
    <w:p>
      <w:r>
        <w:rPr>
          <w:b/>
        </w:rPr>
        <w:t>E. 7</w:t>
      </w:r>
    </w:p>
    <w:p>
      <w:r>
        <w:t>Daraus folgt, dass der Beschwerdeführer in Gutheissung der Beschwerde und in Übereinstimmung mit den Anträgen der Parteien über den 30. Juni 2012 hinaus Anspruch auf eine (unbefristete) halbe Invalidenrente der schweizerischen Invalidenversicherung hat. Insofern ist die angefochtene Verfügung abzuändern. Soweit die Vorinstanz dem Beschwerdeführer für die Zeit vom 1. Januar bis 30. November 2011 eine ganze und vom 1. Dezember 2011 bis 2012 eine halbe Rente zugesprochen hat, ist die angefochtene Verfügung zu bestätigen.</w:t>
      </w:r>
    </w:p>
    <w:p>
      <w:r>
        <w:rPr>
          <w:b/>
        </w:rPr>
        <w:t>E. 8.1</w:t>
      </w:r>
    </w:p>
    <w:p>
      <w:r>
        <w:t>Das Beschwerdeverfahren ist kostenpflichtig (Art. 69 Abs. 1bis und 2 IVG), wobei die Verfahrenskosten gemäss Art. 63 Abs. 1 VwVG in der Regel der unterliegenden Partei auferlegt werden. Dem obsiegenden Beschwerdeführer sind keine Kosten aufzuerlegen und der geleistete Kostenvorschuss von Fr. 800.- ist ihm nach Eintritt der Rechtskraft dieses Urteils zurückzuerstatten. Der Vorinstanz sind ebenfalls keine Verfahrenskosten aufzuerlegen (Art. 63 Abs. 2 VwVG).</w:t>
      </w:r>
    </w:p>
    <w:p>
      <w:r>
        <w:rPr>
          <w:b/>
        </w:rPr>
        <w:t>E. 8.2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2'200.- (inkl. Auslagen, ohne Mehrwertsteuer;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