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C-971/2009 vom 23. November 2009</w:t>
      </w:r>
    </w:p>
    <w:p>
      <w:r>
        <w:t>Bundesverwaltungsgericht, 2009-11-23, FR</w:t>
      </w:r>
    </w:p>
    <w:p>
      <w:r>
        <w:rPr>
          <w:b/>
        </w:rPr>
        <w:t xml:space="preserve">Quelle: </w:t>
      </w:r>
      <w:r>
        <w:t>https://mcp.opencaselaw.ch/entscheid/bvger_C-971_2009</w:t>
      </w:r>
    </w:p>
    <w:p>
      <w:r>
        <w:t>FR: TAF C-971/2009 du 23 novembre 2009</w:t>
      </w:r>
    </w:p>
    <w:p>
      <w:r>
        <w:t>IT: TAF C-971/2009 del 23 novembre 2009</w:t>
      </w:r>
    </w:p>
    <w:p>
      <w:pPr>
        <w:pStyle w:val="Heading2"/>
      </w:pPr>
      <w:r>
        <w:t>Regeste</w:t>
      </w:r>
    </w:p>
    <w:p>
      <w:r>
        <w:t>Entrée</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(art. 1 al. 2 LTAF en relation avec l'art. 83 let. c ch. 1 de la loi du 17 juin 2005 sur le Tribunal fédéral [LTF, RS 173.110]. A._______ a qualité pour recourir (art. 48 al. 1 PA). Présenté dans la forme et les délais prescrits par la loi, son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2.3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ATF 125 V 413 consid. 1; Kölz/Häner, op. cit., p. 148ss ; Gygi, op. cit., p. 44ss ; Poudret, op. cit., p. 8s., n. 2.2 ; Pierre Moor, Droit administratif, vol. II : Les actes administratifs et leur contrôle, Berne 1991, p. 438, 444 et 446s). En considération de ce qui précède, la conclusion du recours tendant à l'annulation de la décision d'interdiction d'entrée du 20 novembre 2006 est irrecevable, le Tribunal devant se limiter à examiner si c'est à bon droit que l'autorité inférieure n'est pas entrée en matière sur la demande de réexamen.</w:t>
      </w:r>
    </w:p>
    <w:p>
      <w:r>
        <w:rPr>
          <w:b/>
        </w:rPr>
        <w:t>E. 3</w:t>
      </w:r>
    </w:p>
    <w:p>
      <w:r>
        <w:t>En l'espèce, la recourante a fondé sa demande de réexamen sur l'allégation selon laquelle l'ODM avait basé sa décision du 20 novembre 2006 sur des rapports de police qui faisaient état de vols en bande commis de manière professionnelle, alors que l'instruction de la cause pénale a ultérieurement abouti à une nouvelle qualification de ces infractions, respectivement au classement de la cause après le retrait des plaintes déposées contre elle. Elle en a conclu que l'ODM avait ainsi fondé sa décision sur une appréciation inexacte des faits de la cause.</w:t>
      </w:r>
    </w:p>
    <w:p>
      <w:r>
        <w:rPr>
          <w:b/>
        </w:rPr>
        <w:t>E. 4</w:t>
      </w:r>
    </w:p>
    <w:p>
      <w:r>
        <w:t>L'examen du dossier amène le Tribunal à constater que l'ODM a prononcé sa décision d'interdiction d'entrée en Suisse du 20 novembre 2006 sur la seule base du procès-verbal de l'audition de A._______ du 19 novembre 2006 par la gendarmerie de Sierre, lequel lui avait été transmis par les autorités cantonales. Lors de cette audition, la recourante a été invitée à s'expliquer sur les vols à l'étalage qu'elle avait commis au Centre B._______ de Sierre le 18 novembre 2006 et elle a alors notamment déclaré: "Le jour en question, nous avions suffisamment d'argent mais nous avons agi de la sorte comme dans un jeu, en voyant qu'aucune alarme ne se déclenchait au passage de la caisse. Pour ma part, au moment du contrôle, j'étais en possession des effets mentionnés sur la liste B._______ que vous me présentez." Il appert ainsi que l'argument avancé par la recourante, selon lequel l'ODM aurait rendu la décision contestée sur la base de rapports de police qui auraient fait état de vols en bande commis de manière professionnelle, est dépourvue de pertinence. Il convient de remarquer à ce propos que l'instruction pénale n'a été ouverte que le 12 décembre 2006 et que l'ordonnance par laquelle le juge d'instruction du Valais central a d'abord condamné A._______ à six mois d'emprisonnement avec sursis pendant deux ans pour vols en bande n'a été rendue que le 21 décembre 2006, soit bien après le prononcé de l'interdiction d'entrée, et n'a donc eu aucune incidence sur ce prononcé. En conséquence, contrairement à ce qui a été avancé dans le recours, l'ODM a rendu sa décision indépendamment de la procédure pénale ouverte à l'endroit de la recourante et cet office n'a donc nullement été influencé, dans sa prise de décision, par une éventuelle qualification juridique des faits litigieux qui aurait alors fait apparaître les actes délictueux de la recourante pour plus graves qu'ils ne l'ont été. Dans ces circonstances, la clôture de la procédure pénale, survenue le 18 août 2008 à la suite du retrait des plaintes déposées contre la recourante, ne constitue pas un fait nouveau ni une modification notable des circonstances de nature à modifier l'appréciation des faits de la cause à laquelle l'ODM s'est livré lors du prononcé de sa décision du 20 novembre 2006 et n'est donc pas de nature à justifier le réexamen de ce prononcé. Il appert en outre que les attaches familiales de la recourante en Suisse étaient connues de l'ODM par le procès-verbal d'audition du 19 novembre 2006 et qu'elles ne constituent donc également pas des éléments nouveaux susceptibles de justifier le réexamen de la décision précitée. Aussi est-ce à bon droit que l'ODM a refusé d'entrer en matière sur la demande de réexamen du 13 octobre 2008. Le Tribunal relève au surplus que les arguments de la recourante, selon lesquels la décision attaquée était inopportune et consacrait une violation de principe de la proportionnalité n'ont pas à être examinés en la présente procédure, dès lors qu'ils sont extrinsèques à l'objet du présent litige, lequel vise uniquement à déterminer si c'est à bon droit que l'ODM a refusé d'entrer en matière sur sa demande de réexamen du 13 octobre 2008. Le Tribunal constate enfin, par surabondance, que si la recourante estimait que la décision du 20 novembre 2006 n'était pas conforme au droit, était inopportune ou violait le principe de la proportionnalité en considération des faits qui lui étaient reprochés, il lui appartenait de contester ce prononcé par la voie ordinaire du recours, ce qu'elle n'a pas jugé utile de faire.</w:t>
      </w:r>
    </w:p>
    <w:p>
      <w:r>
        <w:rPr>
          <w:b/>
        </w:rPr>
        <w:t>E. 5</w:t>
      </w:r>
    </w:p>
    <w:p>
      <w:r>
        <w:t>Il ressort de ce qui précède que la décision du 12 janvier 2009, par laquelle l'ODM n'est pas entré en matière sur la demande de réexamen du 13 octobre 2008, est conforme au droit. Le recours est en conséquence rejeté, dans la mesure où il est recevable.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