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C-971/2006 vom 20. Februar 2008</w:t>
      </w:r>
    </w:p>
    <w:p>
      <w:r>
        <w:t>Bundesverwaltungsgericht, 2008-02-20, DE</w:t>
      </w:r>
    </w:p>
    <w:p>
      <w:r>
        <w:rPr>
          <w:b/>
        </w:rPr>
        <w:t xml:space="preserve">Quelle: </w:t>
      </w:r>
      <w:r>
        <w:t>https://mcp.opencaselaw.ch/entscheid/bvger_C-971_2006</w:t>
      </w:r>
    </w:p>
    <w:p>
      <w:r>
        <w:t>FR: TAF C-971/2006 du 20 février 2008</w:t>
      </w:r>
    </w:p>
    <w:p>
      <w:r>
        <w:t>IT: TAF C-971/2006 del 20 febbraio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Verweigerung der Einreisebewilligung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Adressat der Verfügung vom 15. August 2006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3.1</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Gesuche, die vor diesem Zeitpunkt eingereicht wurden, bleibt das bisherige Recht anwendbar (vgl. Art. 126 Abs. 1 AuG). Die angefochtene Verfügung erging vor dem Inkrafttreten des AuG. Für die materielle Beurteilung der vorliegenden Beschwerde ist daher auf die altrechtliche Regelung abzustellen, insbesondere auch auf die relevanten Bestimmungen der gemäss Art. 39 der Verordnung vom 24. Oktober 2007 über das Einreise- und Visumverfahren (VEV, SR 142.20) gleichzeitig mit dem aANAG ausser Kraft gesetzten Verordnung vom 14. Januar 1998 über Einreise und Anmeldung von Ausländerinnen und Ausländern (aVEA, AS 1998 194).</w:t>
      </w:r>
    </w:p>
    <w:p>
      <w:r>
        <w:rPr>
          <w:b/>
        </w:rPr>
        <w:t>E. 3.2</w:t>
      </w:r>
    </w:p>
    <w:p>
      <w:r>
        <w:t>Gemäss Art. 1a aANAG sind ausländische Personen zur Anwesenheit in der Schweiz berechtigt, wenn sie eine Aufenthalts- oder Niederlassungsbewilligung besitzen oder keiner solchen bedürfen. Gewisse Gruppen von Ausländerinnen und Ausländern benötigen für die Einreise in die Schweiz ein Visum (vgl. Art. 3 ff. aVEA). Das BFM entscheidet im Rahmen der gesetzlichen Vorschriften und der Verträge mit dem Ausland nach freiem Ermessen über die Bewilligung von Aufenthalt und Niederlassung (Art. 4 und Art. 16 Abs. 1 aANAG, Art. 9 Abs. 1 aVEA). Dies bedeutet, dass die schweizerische Rechtsordnung weder ein allgemeines Recht auf Einreise kennt, noch einen besonderen Anspruch auf Erteilung eines Visums gewährt (Peter Uebersax, Einreise und Anwesenheit in: Peter Uebersax/Peter Münch/Thomas Geiser/Martin Arnold (Hrsg.), Ausländerrecht, Ausländerinnen und Ausländer im öffentlichen Recht, Privatrecht, Steuerrecht und Sozialrecht der Schweiz, Basel/Genf/München 2002, Rz. 5.28). Ein Einreisevisum wird verweigert, wenn die in Art. 1 aVEA aufgeführten Voraussetzungen nicht erfüllt sind (vgl. Art. 14 Abs. 1 aVEA). Insbesondere müssen Gesuchsteller, die in die Schweiz reisen möchten, Gewähr bieten, dass sie fristgerecht wieder ausreisen werden (Art. 1 Abs. 2 Bst. c aVEA).</w:t>
      </w:r>
    </w:p>
    <w:p>
      <w:r>
        <w:rPr>
          <w:b/>
        </w:rPr>
        <w:t>E. 4</w:t>
      </w:r>
    </w:p>
    <w:p>
      <w:r>
        <w:t>Zwischen der Schweiz und Ghana besteht kein Staatsvertrag, welcher dem Beschwerdeführer einen Anspruch auf Einreise und Aufenthalt in der Schweiz vermitteln würde. Er unterliegt daher auf Grund seiner Nationalität der Visumspflicht nach Art. 3 aVEA.</w:t>
      </w:r>
    </w:p>
    <w:p>
      <w:r>
        <w:rPr>
          <w:b/>
        </w:rPr>
        <w:t>E. 5.1</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5.2</w:t>
      </w:r>
    </w:p>
    <w:p>
      <w:r>
        <w:t>Trotz der mehrheitlich positiven wirtschaftlichen Entwicklung der letzten Jahre lebt fast die Hälfte der Bevölkerung Ghanas nach wie vor in grosser Armut (vgl. Länderinformationen auf der Website des deutschen Bundesministeriums für wirtschaftliche Entwicklung und Zusammenarbeit [BMZ], &lt;www.bmz.de&gt;, Länder und Regionen &gt; Partnerländer &gt; Ghana, besucht am 5. Februar 2008). Gemäss dem vom Entwicklungsprogramm der Vereinten Nationen (United Nations Development Programme, UNDP) berechneten Entwicklungsindex rangiert Ghana auf einer Liste von 177 Ländern denn auch lediglich auf dem 135. Rang (vgl. Human Development Report 2007/2008 auf der Website des UNDP, &lt;www.undp.org&gt;, Human Development Reports, besucht am 5. Februar 2008). Eine Folge dieser Situation ist eine anhaltend hohe Emigration ghanaischer Staatsangehöriger, nicht zuletzt nach Nordamerika und Europa.</w:t>
      </w:r>
    </w:p>
    <w:p>
      <w:r>
        <w:rPr>
          <w:b/>
        </w:rPr>
        <w:t>E. 5.3</w:t>
      </w:r>
    </w:p>
    <w:p>
      <w:r>
        <w:t>Vor diesem Hintergrund kann nicht ohne weiteres von einer gesicherten Wiederausreise des Beschwerdeführers ausgegangen werden.</w:t>
      </w:r>
    </w:p>
    <w:p>
      <w:r>
        <w:rPr>
          <w:b/>
        </w:rPr>
        <w:t>E. 6.1</w:t>
      </w:r>
    </w:p>
    <w:p>
      <w:r>
        <w:t>Bei der Risikoanalyse betreffend die gesicherte Wiederausreise sind aber nicht nur solch allgemeine Umstände zu berücksichtigen, sondern sämtliche Gesichtspunkte des konkreten Einzelfalles. Obliegt einem Beschwerdeführer im Heimatsstaat beispielsweise eine besondere berufliche, gesellschaftliche oder familiäre Verantwortung, kann dieser Umstand die Prognose begünstigen.</w:t>
      </w:r>
    </w:p>
    <w:p>
      <w:r>
        <w:rPr>
          <w:b/>
        </w:rPr>
        <w:t>E. 6.2</w:t>
      </w:r>
    </w:p>
    <w:p>
      <w:r>
        <w:t>Der Beschwerdeführer ist im heutigen Zeitpunkt 54 Jahre alt, verheiratet und hat drei erwachsene Kinder. Gemäss eigenen Angaben führt er einen Geflügelzuchtbetrieb, mit dessen Erlös er sich und seine Familie ernähren kann. Sowohl das Alter des Beschwerdeführers als auch seine familiäre und berufliche Situation sprechen somit eher für eine gesicherte Wiederausreise. Zu seinen Ungunsten ist indessen zu berücksichtigen, dass er bereits zu einem früheren Zeitpunkt versucht hat, sich in der Schweiz ein Aufenthaltsrecht zu verschaffen. Der Beschwerdeführer reiste am 17. September 1988 in die Schweiz ein und stellte hier ein Asylgesuch. Die Vorinstanz lehnte dieses Gesuch mit Verfügung vom 23. April 1992 ab und ordnete die Wegweisung des Beschwerdeführers an. Die dagegen erhobene Beschwerde wurde von der damaligen Schweizerischen Asylrekurskommission (ARK) mit Urteil vom 19. Februar 1996 abgewiesen. Seiner Ausreiseverpflichtung kam der Beschwerdeführer jedoch erst im Jahre 1998 nach.</w:t>
      </w:r>
    </w:p>
    <w:p>
      <w:r>
        <w:rPr>
          <w:b/>
        </w:rPr>
        <w:t>E. 6.3</w:t>
      </w:r>
    </w:p>
    <w:p>
      <w:r>
        <w:t>Schliesslich hat die Vorinstanz in der angefochtenen Verfügung zu Recht darauf hingewiesen, dass sich der Gastgeber des Beschwerdeführers gegenüber dem Migrationsamt des Kantons Aargau nicht zum geplanten Besuch geäussert hat. Der Beschwerdeführer macht in diesem Zusammenhang zwar geltend, sein Gastgeber sei in der besagten Zeit sehr beschäftigt und deshalb nicht in der Lage gewesen, auf die Anfrage des Kantons zu antworten. Der Gastgeber habe erwartet, zu einem späteren Zeitpunkt nochmals Gelegenheit zu erhalten, die Dinge klarzustellen. Den Akten lassen sich indessen keine Hinweise entnehmen, dass sich der Gastgeber nach seinem Einladungsschreiben vom 13. Februar 2006 nochmals mit den schweizerischen Behörden in Verbindung gesetzt hätte. Zudem hat es der Beschwerdeführer auf Rekursebene unterlassen, eine entsprechende Stellungnahme des Gastgebers nachzureichen, obwohl er dazu ausreichend Gelegenheit und Anlass gehabt hätte. Bei dieser Sachlage hat das BFM den angeblichen Zweck der Reise - und damit auch die anstandslose Wiederausreise des Beschwerdeführers - zu Recht in Frage gestellt.</w:t>
      </w:r>
    </w:p>
    <w:p>
      <w:r>
        <w:rPr>
          <w:b/>
        </w:rPr>
        <w:t>E. 7</w:t>
      </w:r>
    </w:p>
    <w:p>
      <w:r>
        <w:t>Nach dem Gesagten durfte die Vorinstanz davon ausgehen, die fristgerechte Wiederausreise sei nicht hinreichend gewährleistet (vgl. Art. 14 Abs. 1 i.V.m. Art. 1 Abs. 2 Bst. c aVEA). Aus diesen Erwägungen ergibt sich, dass die angefochtene Verfügung im Lichte von Art. 49 VwVG nicht zu beanstanden ist. Die Beschwerde ist daher abzuweisen.</w:t>
      </w:r>
    </w:p>
    <w:p>
      <w:r>
        <w:rPr>
          <w:b/>
        </w:rPr>
        <w:t>E. 8</w:t>
      </w:r>
    </w:p>
    <w:p>
      <w:r>
        <w:t>Bei diesem Ausgang des Verfahrens sind dem Beschwerdeführer die Kosten aufzuerlegen (Art. 63 Abs. 1 VwVG i.V.m. Art. 1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