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C-957/2024 vom 16. Januar 2024</w:t>
      </w:r>
    </w:p>
    <w:p>
      <w:r>
        <w:t>Bundesverwaltungsgericht, 2024-01-16, IT</w:t>
      </w:r>
    </w:p>
    <w:p>
      <w:r>
        <w:rPr>
          <w:b/>
        </w:rPr>
        <w:t xml:space="preserve">Quelle: </w:t>
      </w:r>
      <w:r>
        <w:t>https://mcp.opencaselaw.ch/entscheid/bvger_C-957_2024_d20240116</w:t>
      </w:r>
    </w:p>
    <w:p>
      <w:r>
        <w:t>FR: TAF C-957/2024 du 16 janvier 2024</w:t>
      </w:r>
    </w:p>
    <w:p>
      <w:r>
        <w:t>IT: TAF C-957/2024 del 16 gennaio 2024</w:t>
      </w:r>
    </w:p>
    <w:p>
      <w:pPr>
        <w:pStyle w:val="Heading2"/>
      </w:pPr>
      <w:r>
        <w:t>Regeste</w:t>
      </w:r>
    </w:p>
    <w:p>
      <w:r>
        <w:t>Diritto alla rendita | Assicurazione per l'invalidità; diritto alla rendita e a provvedimenti professionali (decisione del 16 gennaio 2024).</w:t>
      </w:r>
    </w:p>
    <w:p>
      <w:pPr>
        <w:pStyle w:val="Heading2"/>
      </w:pPr>
      <w:r>
        <w:t>Erwägungen</w:t>
      </w:r>
    </w:p>
    <w:p>
      <w:r>
        <w:rPr>
          <w:b/>
        </w:rPr>
        <w:t>E. 1.1</w:t>
      </w:r>
    </w:p>
    <w:p>
      <w:r>
        <w:t>Il Tribunale amministrativo federale (TAF) esamina d'ufficio e con piena cognizione la propria competenza (art. 31 e segg. LTAF) rispettivamente</w:t>
      </w:r>
    </w:p>
    <w:p>
      <w:r>
        <w:t>C-957/2024 Pagina 4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w:t>
      </w:r>
    </w:p>
    <w:p>
      <w:r>
        <w:t>Il ricorrente è cittadino di uno Stato membro della Comunità europea, è domiciliato in Italia e sussiste un nesso transfrontaliero, il medesimo es- sendo stato assicurato all’assicurazione per la vecchiaia, i superstiti e l’in- validità svizzera (AVS/AI; DTF 145 V 231 consid. 7.1, 143 V 354 consid. 4, 143 V 81, in particolare consid. 8.1),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w:t>
      </w:r>
    </w:p>
    <w:p>
      <w:r>
        <w:t>C-957/2024 Pagina 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3.1</w:t>
      </w:r>
    </w:p>
    <w:p>
      <w:r>
        <w:t>Dal profilo temporale, con riserva di disposizioni di diritto transitorio, sono applicabili le disposizioni in vigore al momento della realizzazione dello stato di fatto che deve essere valutato giuridicamente o che produce conseguenze giuridiche (DTF 146 V 364 consid. 7.1; 139 V 335 consid. 6.2; 136 V 24 consid. 4.3).</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[Circ DT US AI; valida dal 1° gennaio 2022, stato al 1° gennaio 2022] cifre marginali 1007 a 1010).</w:t>
      </w:r>
    </w:p>
    <w:p>
      <w:r>
        <w:rPr>
          <w:b/>
        </w:rPr>
        <w:t>E. 3.3</w:t>
      </w:r>
    </w:p>
    <w:p>
      <w:r>
        <w:t>Nel caso in esame, potendo il diritto alla rendita nascere al più presto il 1° settembre 2023 (cfr. art. 29 LAI), si applicano di principio le disposizioni legali in vigore dopo il 1° gennaio 2022.</w:t>
      </w:r>
    </w:p>
    <w:p>
      <w:r>
        <w:rPr>
          <w:b/>
        </w:rPr>
        <w:t>E. 4.1</w:t>
      </w:r>
    </w:p>
    <w:p>
      <w:r>
        <w:t>Secondo l’art. 43 LPGA e l’art. 69 OAI, l’UAIE esamina le domande concernenti le prestazioni d’invalidità, intraprende d’ufficio i necessari ac- certamenti e raccoglie le informazioni di cui ha bisogno, in particolare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t>C-957/2024 Pagina 6</w:t>
      </w:r>
    </w:p>
    <w:p>
      <w:r>
        <w:rPr>
          <w:b/>
        </w:rPr>
        <w:t>E. 5.1</w:t>
      </w:r>
    </w:p>
    <w:p>
      <w:r>
        <w:t>Oggetto del contendere prima della risposta di causa era il diritto dell’assicurato di percepire una rendita di invalidità, tenuto conto di un grado di incapacità lavorativa di almeno il 60%, rigettato dall’amministra- zione con la decisione impugnata.</w:t>
      </w:r>
    </w:p>
    <w:p>
      <w:r>
        <w:rPr>
          <w:b/>
        </w:rPr>
        <w:t>E. 5.2</w:t>
      </w:r>
    </w:p>
    <w:p>
      <w:r>
        <w:t>In seguito alla proposta dell’UAIE tendente all’ammissione del ricorso, con annullamento della decisione impugnata e rinvio della causa all’ammi- nistrazione affinché proceda ad ulteriori approfondimenti medici, in partico- lare in ambio cardiologico e ortopedico (doc. TAF 10), nel caso in esame, occorre quindi esaminare se prima della pronuncia della decisione impu- gnata, l’UAIE avrebbe dovuto procedere ad ulteriori misure istruttorie, se- gnatamente ordinare ulteriori accertamenti specialistici in ambito medico, per potersi determinare con cognizione di causa ed il necessario grado della verosimiglianza preponderante valido nel diritto delle assicurazioni sociali, sull’evoluzione dello stato di salute e della residua capacità lavora- tiva dell’insorgente. Il ricorrente chiede infatti il riconoscimento di un’inca- pacità lavorativa e di un grado di invalidità non inferiore al 60%, avvalen- dosi di un accertamento errato dei fatti da un punto di vista medico.</w:t>
      </w:r>
    </w:p>
    <w:p>
      <w:r>
        <w:rPr>
          <w:b/>
        </w:rPr>
        <w:t>E. 5.3</w:t>
      </w:r>
    </w:p>
    <w:p>
      <w:r>
        <w:t>In concreto va pertanto analizzato se la proposta sia condivisibile e vada pertanto accolta (si confronti la risposta di causa del 10 settembre 2024).</w:t>
      </w:r>
    </w:p>
    <w:p>
      <w:r>
        <w:rPr>
          <w:b/>
        </w:rPr>
        <w:t>E. 6.1</w:t>
      </w:r>
    </w:p>
    <w:p>
      <w:r>
        <w:t>Per i motivi che verranno esposti di seguito questo Tribunale concorda con la proposta dell’UAIE, alla quale il ricorrente ha peraltro aderito, d’an- nullamento della decisione impugnata con rinvio degli atti di causa all’am- ministrazione affinché completi l’istruttoria con ulteriori accertamenti me- dici. L’autorità inferiore non ha infatti tenuto conto di una possibile evolu- zione sfavorevole del suo stato di salute, possibilmente intervenuta già prima dell’emanazione della decisione impugnata.</w:t>
      </w:r>
    </w:p>
    <w:p>
      <w:r>
        <w:rPr>
          <w:b/>
        </w:rPr>
        <w:t>E. 6.2.1</w:t>
      </w:r>
    </w:p>
    <w:p>
      <w:r>
        <w:t>Nel caso in esame in considerazione dei documenti medici allegati al ricorso cautelativo del 13 febbraio 2024 e alla sua conferma del 21 febbraio 2024 (doc. TAF 1 e 2) e sottoposti al medico dell’AI in fase ricorsuale – in particolare i referti della dott.ssa D._______ del 15 febbraio 2024, in cui la specialista in cardiologia ha evidenziato una tachicardia inappropriata e</w:t>
      </w:r>
    </w:p>
    <w:p>
      <w:r>
        <w:t>C-957/2024 Pagina 7 aritmie ipercinetiche sopraventricolari e ventricolari e ha concluso di non poter escludere uno stato di iniziale cardiomiopatia e chiesto l’esecuzione di un esame eco-doppler cardiaco, doppler TSA e dell’assetto lipidico e glucidico, nonché l’inizio di una terapia con Triatec 2.5 e della dott.ssa E._______ del 16 giugno 2023, in cui la specialista in radiologia dell’Ospe- dale F._______ ha constatato alterazioni degenerative al rachide cervicale e alla spalla destra – il dott. C._______ ha considerato necessario proce- dere ad una valutazione cardiologica e ortopedica completa. A livello car- diologico ritiene in particolare necessario indagare a fondo la patologia car- diaca, nonché le sue conseguenze sull’attività esigibile dal ricorrente (cari- cabilità fisica). A livello ortopedico ha invece evidenziato che il rapporto della dott.ssa E._______ conferma segni di alterazioni degenerative della colonna cervicale e della spalla destra ma che in assenza di un esame clinico esaustivo e di un’anamnesi affidabile non era possibile determi- narne le eventuali conseguenze sulla caricabilità fisica.</w:t>
      </w:r>
    </w:p>
    <w:p>
      <w:r>
        <w:rPr>
          <w:b/>
        </w:rPr>
        <w:t>E. 6.2.2</w:t>
      </w:r>
    </w:p>
    <w:p>
      <w:r>
        <w:t>Alla luce di quanto precede, e considerato che i menzionati referti delle dott.sse D._______ e E._______ sono del 15 febbraio 2024, rispetti- vamente del 16 giugno 2023, non può essere escluso che sia intervenuto un peggioramento dello stato di salute dell’assicurato con ripercussioni sulla sua capacità lavorativa, e quindi sul grado di invalidità, già prima dell’emissione della decisione impugnata del 16 gennaio 2024. Già solo per questo motivo va accolta la proposta di rinvio dell’autorità inferiore al- fine di una più approfondita, aggiornata e precisa verifica dello stato di sa- lute del ricorrente. Da questo profilo il completamento dell’istruttoria implica segnatamente l’aggiornamento dell’incarto con una perizia pluridisciplinare perlomeno in ambito cardiologico e ortopedico, con verifica dell’incidenza delle diverse patologie, ed in particolare del loro effetto congiunto, sulla capacità lavorativa residua del ricorrente e sulla sua evoluzione nel tempo.</w:t>
      </w:r>
    </w:p>
    <w:p>
      <w:r>
        <w:rPr>
          <w:b/>
        </w:rPr>
        <w:t>E. 6.2.3</w:t>
      </w:r>
    </w:p>
    <w:p>
      <w:r>
        <w:t>Inoltre, dalla documentazione medica raccolta risulta che a seguito di una visita specialistica in epatologia del 7 giugno 2023, il dott. G._______, specialista in gastroenterologia, ha consigliato ulteriori approfondimenti specialisti (in particolare elastosonografia epatica [cfr. allegati a doc. TAF 1]). Dagli atti dell’incarto non risulta che i menzionati esami siano stati ef- fettuati o che l’autorità inferiore si sia altrimenti chinata su tale questione. Di conseguenza, anche per questo motivo, risulta evidente che l’ammini- strazione avrebbe dovuto fare esperire una più approfondita verifica dello stato di salute del ricorrente prima di emettere la decisione impugnata. Nell’ambito degli ulteriori accertamenti ancora da eseguire viene pertanto invitata a tenere conto anche della problematica epatica.</w:t>
      </w:r>
    </w:p>
    <w:p>
      <w:r>
        <w:t>C-957/2024 Pagina 8</w:t>
      </w:r>
    </w:p>
    <w:p>
      <w:r>
        <w:rPr>
          <w:b/>
        </w:rPr>
        <w:t>E. 6.2.4</w:t>
      </w:r>
    </w:p>
    <w:p>
      <w:r>
        <w:t>Da quanto esposto consegue che il ricorso va parzialmente accolto e gli atti vanno rinviati all’autorità inferiore per un accertamento completivo della fattispecie giuridicamente rilevante dal profilo medico. A questo stadio della procedura, contrariamente a quanto preteso con il ricorso, non è in- fatti possibile statuire nel senso richiesto dal ricorrente (riconoscimento di un’incapacità lavorativa in qualsiasi attività esigibile non inferiore al 60%) senza prima procedere alla menzionata istruttoria complementare, es- sendo gli atti incompleti.</w:t>
      </w:r>
    </w:p>
    <w:p>
      <w:r>
        <w:rPr>
          <w:b/>
        </w:rPr>
        <w:t>E. 6.3</w:t>
      </w:r>
    </w:p>
    <w:p>
      <w:r>
        <w:t>A titolo abbondanziale questo Tribunale rileva infine che l’autorità infe- riore, a dipendenza delle risultanze istruttorie sul piano medico, dovrà pro- cedere ad ulteriori accertamenti anche per quanto concerne la valutazione del grado di invalidità, sia per quel che attiene il grado di invalidità nell’am- bito dell’attività lucrativa, sia eventualmente nell’ambito delle mansioni con- suete (segnatamente tramite l’invio del questionario relativo alle attività consuete, il cui esito dovrà essere valutato in collaborazione con il Servizio medico regionale (SMR, Circolare dell’UFAS sull’invalidità e sulla rendita nell’assicurazione per l’invalidità [CIRAI; valida dal 1° gennaio 2022, stato al 1° gennaio 2024], cifra marginale 3601). Al riguardo va rilevato che l’as- sicurato ha dichiarato nel ricorso che lo svolgimento dell’attività a tempo parziale è stata una scelta del datore di lavoro, non sua (doc. TAF 1). Andrà quindi ancora valutato se il metodo applicato per stabilire il grado di invali- dità è corretto.</w:t>
      </w:r>
    </w:p>
    <w:p>
      <w:r>
        <w:rPr>
          <w:b/>
        </w:rPr>
        <w:t>E. 7.1</w:t>
      </w:r>
    </w:p>
    <w:p>
      <w:r>
        <w:t>In caso di annullamento della decisione impugnata il Tribunale amministrativo federale può sostituirsi all'autorità inferiore e statuire direttamente nel merito o rinviare la causa, con istruzioni vincolanti, all'autorità inferiore per nuova decisione (si confronti, fra le tante, la sentenza del TAF C-4041/2021 del 2 marzo 2023 consid. 14.1 con rinvii). In particolare esso si sostituirà all'autorità inferiore se gli atti sono completi o comunque sufficienti per statuire. Tale non è il caso nella presente fattispecie per i motivi precedentemente indicati.</w:t>
      </w:r>
    </w:p>
    <w:p>
      <w:r>
        <w:rPr>
          <w:b/>
        </w:rPr>
        <w:t>E. 7.2</w:t>
      </w:r>
    </w:p>
    <w:p>
      <w:r>
        <w:t>L’incarto va pertanto trasmesso all’autorità inferiore affinché completi l’accertamento dei fatti giuridicamente rilevanti. Il ricorrente verrà in parti- colare sottoposto ad una perizia pluridisciplinare in cardiologia, ortopedia ed epatologia, riservata segnatamente la necessità di effettuare esami pneumologici a causa delle apnee notturne di cui soffre (cfr. a tal proposito doc. UAIE 9, 19, 20, 22 e 34) oltre che approfondimenti legati all’obesità (sentenza del TF 8C_104/2024 del 22 ottobre 2024 consid. 5), nonché ogni</w:t>
      </w:r>
    </w:p>
    <w:p>
      <w:r>
        <w:t>C-957/2024 Pagina 9 ulteriore esame che l’evoluzione nel tempo dello stato di salute dell’insor- gente dovesse ancora rendere necessario. L’approfondimento peritale do- vrà essere effettuato in Svizzera (cfr. sentenza del TAF C-4041/2021 del 2 marzo 2023 consid. 14.1 con rinvii). Sulla base degli accertamenti già agli atti e quelli ancora da esperire, l’amministrazione dovrà determinarsi sullo stato di salute del ricorrente nel periodo determinante e fino alla data della nuova decisione nonché sulla sua incidenza sulla residua capacità lavora- tiva, fermo restando la necessità che i tutti i periti si esprimano congiunta- mente al riguardo. Incomberà peraltro all’UAIE emettere una nuova deci- sione sull’eventuale diritto alla rendita del ricorrente in tempi ragionevoli.</w:t>
      </w:r>
    </w:p>
    <w:p>
      <w:r>
        <w:rPr>
          <w:b/>
        </w:rPr>
        <w:t>E. 7.3</w:t>
      </w:r>
    </w:p>
    <w:p>
      <w:r>
        <w:t>Peraltro, stante le premesse, nulla – neppure la giurisprudenza del Tri- 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rispettivamente sulla capacità di svolgere le mansioni consuete. In particolare, un rinvio all’autorità inferiore si giustifica, dal pro- filo delle garanzie procedurali (in particolare quello della doppia istanza con piena cognizione) nei casi in cui, come nella fattispecie, è richiesto un ac- certamento specialistico in un ambito che non è stato sufficientemente chiarito nella procedura di prima istanza, ma che lo avrebbero dovuto es- sere prima dell’emanazione della decisione litigiosa (DTF 137 V 210 con- sid. 4.4.1.4 [cfr., in particolare, il consid. 7 del presente giudizio]). Peraltro, il Tribunale federale ha già avuto modo pure di precisare che in virtù dell’art. 43 LPGA nonché degli art. 12 e 13 PA e dell'art. 19 PA,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secondo cui un rinvio resta possibile laddove si impongono accertamenti medici in merito ad una questione che non è ancora stata oggetto di alcun approfondimento, rispettivamente laddove è necessario un semplice chiarimento o completamento di una perizia), sia rinviare la causa all'amministrazione per completamento dell'istruzione sia procedere lui medesimo a tale istruzione complementare. Un rinvio all'amministra- zione che ha per scopo di completare l'accertamento dei fatti non viola né i principi della semplicità e della celerità né il principio inquisitorio. In parti- colare, un siffatto rinvio appare in generale siccome giustificato se l'ammi- nistrazione ha proceduto ad una constatazione dei fatti sommaria nella</w:t>
      </w:r>
    </w:p>
    <w:p>
      <w:r>
        <w:t>C-957/2024 Pagina 10 speranza che in caso di ricorso sarebbe poi stato il Tribunale ad effettuare i necessari accertamenti fattuali (sentenza del TF 9C_162/2007 del 3 aprile 2008 consid. 2.3 con rinvii; cfr. pure sentenza del TAF C- 1621/2020 con- sid. 9.3).</w:t>
      </w:r>
    </w:p>
    <w:p>
      <w:r>
        <w:rPr>
          <w:b/>
        </w:rPr>
        <w:t>E. 8.1</w:t>
      </w:r>
    </w:p>
    <w:p>
      <w:r>
        <w:t>Visto l'esito del ricorso, non sono prelevate spese processuali (art. 63 PA). La domanda di assistenza giudiziaria, nel senso della dispensa dalle spese processuali, è pertanto divenuta priva di oggetto (cfr. sulla questione, fra le tante, la sentenza del TAF C-3748/2015 dell’11 febbraio 2019 consid. 14.3 con rinvio).</w:t>
      </w:r>
    </w:p>
    <w:p>
      <w:r>
        <w:rPr>
          <w:b/>
        </w:rPr>
        <w:t>E. 8.2</w:t>
      </w:r>
    </w:p>
    <w:p>
      <w:r>
        <w:t>Ritenuto che l'insorgente è rappresentato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w:t>
      </w:r>
    </w:p>
    <w:p>
      <w:r>
        <w:t>(dispositivo alla pagina seguente)</w:t>
      </w:r>
    </w:p>
    <w:p>
      <w:r>
        <w:t>C-957/2024 Pagina 11 Per questi motivi, il Tribunale amministrativo federale pronun- cia: 1. Il ricorso è accolto nel senso che la decisione impugnata del 16 gennaio 2024 è annullata e gli atti di causa sono rinviati all'UAIE affinché proceda al completamento dell'istruttoria e pronunci una nuova decisione ai sensi dei considerandi. 2. Non si prelevano spese processuali. 3. La domanda di assistenza giudiziaria, nel senso della dispensa dalle spese processuali, è divenuta priva d’oggetto. 4. L'UAIE rifonderà al ricorrente CHF 1'000.- a titolo di spese ripetibili. 5. Questa sentenza è comunicata al ricorrente, all'autorità inferiore e all’UFAS.</w:t>
      </w:r>
    </w:p>
    <w:p>
      <w:r>
        <w:t>La presidente del collegio: Il cancelliere:</w:t>
      </w:r>
    </w:p>
    <w:p>
      <w:r>
        <w:t>Michela Bürki Moreni Oliver Engel</w:t>
      </w:r>
    </w:p>
    <w:p>
      <w:r>
        <w:t>I rimedi giuridici sono menzionati alla pagina seguente.</w:t>
      </w:r>
    </w:p>
    <w:p>
      <w:r>
        <w:t>C-957/2024 Pagina 12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