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C-956/2012 vom 7. Oktober 2013</w:t>
      </w:r>
    </w:p>
    <w:p>
      <w:r>
        <w:t>Bundesverwaltungsgericht, 2013-10-07, DE</w:t>
      </w:r>
    </w:p>
    <w:p>
      <w:r>
        <w:rPr>
          <w:b/>
        </w:rPr>
        <w:t xml:space="preserve">Quelle: </w:t>
      </w:r>
      <w:r>
        <w:t>https://mcp.opencaselaw.ch/entscheid/bvger_C-956_2012</w:t>
      </w:r>
    </w:p>
    <w:p>
      <w:r>
        <w:t>FR: TAF C-956/2012 du 7 octobre 2013</w:t>
      </w:r>
    </w:p>
    <w:p>
      <w:r>
        <w:t>IT: TAF C-956/2012 del 7 ottobre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2012/21 E. 5.1).</w:t>
      </w:r>
    </w:p>
    <w:p>
      <w:r>
        <w:rPr>
          <w:b/>
        </w:rPr>
        <w:t>E. 3.1</w:t>
      </w:r>
    </w:p>
    <w:p>
      <w:r>
        <w:t>In formeller Hinsicht rügt der Rechtsvertreter, die angefochtene Verfügung enthalte weder eine Unterschrift noch den Namen einer zuständigen Person. Das Bundesverwaltungsgericht hat sich mit der aufgeworfenen Rechtsfrage in einem Grundsatzurteil auseinander gesetzt und ist dabei zum Schluss gelangt, dass ein zentral von einem dazu berechtigten Mitarbeitenden des BFM erstelltes und mit dem Kürzel der ausstellenden Person versehenes Einreiseverbot, welches elektronisch an die zuständige kantonale Ausländerbehörde übersteuert und durch diese eröffnet wird, den Anforderungen an die Schriftlichkeit der Eröffnung von Verfügungen auch ohne eigenhändige oder faksimilierte Unterschrift genügt (Urteil des BVGer C-2492/2008 vom 31. August 2009 E. 3.3.4 - 3.3.6; vgl. auch Urteil des BVGer C-4752/2010 vom 26. April 2012 E. 4.3). Dies ist vorliegend geschehen. Die verfügende Person ist aufgrund des Kürzels bei der Rubrik Referenz/Aktenzeichen ohne weiteres identifizierbar und die elektronisch übermittelte Verfügung wurde am 20. Januar 2012 vom Amt für Migration des Kantons Luzern korrekt eröffnet. Die erhobene Rüge erweist sich deshalb als unbegründet.</w:t>
      </w:r>
    </w:p>
    <w:p>
      <w:r>
        <w:rPr>
          <w:b/>
        </w:rPr>
        <w:t>E. 3.2</w:t>
      </w:r>
    </w:p>
    <w:p>
      <w:r>
        <w:t>Soweit der Rechtsvertreter beanstandet, die privaten Interessen seines Mandanten würden ohne jede weitere Begründung negiert, erhebt er sodann implizit die Rüge der Verletzung der Begründungspflicht. Gemäss Art. 35 Abs. 1 VwVG sind die Behörden verpflichtet, ihren Entscheid zu begründen. Die Begründungspflicht ist Teilgehalt des Anspruchs auf rechtliches Gehör im Sinne von Art. 29 Abs. 2 der Bundesverfassung der Schweizerischen Eidgenossenschaft vom 18. April 1999 (BV, SR 101). Sie soll verhindern, dass die Behörden sich von unsachlichen Motiven leiten lassen und es der betroffenen Person ermöglichen, den Entscheid sachgerecht anzufechten. Eine sachgerechte Anfechtung ist nur möglich, wenn sich sowohl die Partei wie auch die Rechtsmittelinstanz über die Tragweite des Entscheides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und je komplexer die Sach- und Rechtslage ist. Bei schwerwiegenden Eingriffen wird eine sorgfältige Begründung verlangt (vgl. zum Ganzen BGE 137 II 266 E. 3.2 S. 270 f.; BGE 133 I 270 E. 3.1 S. 277; BVGE 2009/35 E. 2.2.1; BVGE 2007/27 E. 5.5.2; ebenso Lorenz Kneubühler, in: Auer/Müller/Schindler [Hrsg.], Kommentar zum Bundesgesetz über das Verwaltungsverfahren [VwVG], Zürich/St. Gallen 2008, Rz. 4 ff. und insb. Rz. 9 ff. zu Art. 35 VwVG).</w:t>
      </w:r>
    </w:p>
    <w:p>
      <w:r>
        <w:rPr>
          <w:b/>
        </w:rPr>
        <w:t>E. 3.3</w:t>
      </w:r>
    </w:p>
    <w:p>
      <w:r>
        <w:t>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mit Hinweisen).</w:t>
      </w:r>
    </w:p>
    <w:p>
      <w:r>
        <w:rPr>
          <w:b/>
        </w:rPr>
        <w:t>E. 3.4</w:t>
      </w:r>
    </w:p>
    <w:p>
      <w:r>
        <w:t>Die Begründung der angefochtenen Verfügung ist in der Tat ziemlich summarisch gehalten. Es geht daraus aber hervor, aus welchen Gründen die Vorinstanz eine längerfristigere Fernhaltemassnahme für angezeigt erachtete. Mit der Nennung der wichtigsten Verurteilungen und Deliktarten sowie der Hervorhebung der Schwere der Straftaten und der Häufigkeit der Delinquenz - die beanstandeten Verhaltensweisen dürften dem Beschwerdeführer hinlänglich bekannt sein - hat sie nämlich zumindest im Ansatz konkretisiert, weshalb sie von einem schwerwiegenden Fall im Sinne von Art. 67 Abs. 3 AuG ausging. Ebenso lässt sich der Begründung entnehmen, dass eine Interessenabwägung zwischen dem öffentlichen Interesse an einem Einreiseverbot einerseits und den geltend gemachten privaten Interessen andererseits stattgefunden hat, wenn auch sprachlich unbeholfen ausgedrückt (vgl. Sachverhalt Bst. D). Dies erweist sich im dargelegten Kontext als ausreichend. Das BFM ist seiner Begründungspflicht demnach in (knapp) genügender Weise nachgekommen.</w:t>
      </w:r>
    </w:p>
    <w:p>
      <w:r>
        <w:rPr>
          <w:b/>
        </w:rPr>
        <w:t>E. 4</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(Ulrich Häfelin/Georg Müller/Felix Uhlmann, Allgemeines Verwaltungsrecht, 6. vollständig überarbeitete Aufl., Zürich / St. Gallen 2010, Rz. 337 ff.).</w:t>
      </w:r>
    </w:p>
    <w:p>
      <w:r>
        <w:rPr>
          <w:b/>
        </w:rPr>
        <w:t>E. 5.1</w:t>
      </w:r>
    </w:p>
    <w:p>
      <w:r>
        <w:t>Das Einreiseverbot gestützt auf Art. 67 Abs. 2 AuG (in der seit dem 1. Januar 2011 gültigen Fassung, zum Ganzen vgl. BBl 2009 8881 und AS 2010 5925)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5.2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Gestützt auf die Umstände des Einzelfalls ist eine Prognose zu stellen. Dabei ist naturgemäss in erster Linie das vergangene Verhalten der betroffenen Person zu berücksichtigen (vgl. Urteil des BVGer C-820/2009 vom 9. März 2011 E. 5.2 mit Hinweisen).</w:t>
      </w:r>
    </w:p>
    <w:p>
      <w:r>
        <w:rPr>
          <w:b/>
        </w:rPr>
        <w:t>E. 5.3</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Gründung oder Gründen des nationalen Interesses oder aufgrund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6</w:t>
      </w:r>
    </w:p>
    <w:p>
      <w:r>
        <w:t>Aus den Akten geht hervor, dass der Beschwerdeführer immer wieder mit dem Gesetz in Konflikt kam (siehe Sachverhalt Bst. B.a - B.c vorstehend). Zuletzt wurde er wegen Drogendelikten und Vergehens gegen das Waffengesetz zu einer unbedingten Freiheitsstrafe von dreieinhalb Jahren verurteilt (vgl. Urteil des Kriminalgerichts des Kantons Luzern vom 2. Juli 2010). Die Voraussetzungen für die Verhängung eines Einreiseverbots gemäss Art. 67 Abs. 2 Bst. a AuG sind damit ohne Zweifel erfüllt, was auch der Parteivertreter, der für seinen Mandanten lediglich eine Befristung der Massnahme auf fünf Jahre verlangt, dem Grundsatz nach anerkennt.</w:t>
      </w:r>
    </w:p>
    <w:p>
      <w:r>
        <w:rPr>
          <w:b/>
        </w:rPr>
        <w:t>E. 7</w:t>
      </w:r>
    </w:p>
    <w:p>
      <w:r>
        <w:t>Es ist im Folgenden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a.a.O., Rz. 613 ff.).</w:t>
      </w:r>
    </w:p>
    <w:p>
      <w:r>
        <w:rPr>
          <w:b/>
        </w:rPr>
        <w:t>E. 7.1</w:t>
      </w:r>
    </w:p>
    <w:p>
      <w:r>
        <w:t>Das Fehlverhalten des Beschwerdeführers wiegt aus präventivpolizeilicher Sicht schwer (zur Zulässigkeit der Berücksichtigung generalpräventiver Aspekte in Konstellationen, in denen wie hier kein sogenannter Vertragsausländer betroffen ist, vgl. Urteil des Bundesgerichts 2C_282/2012 vom 31. Juli 2012 E. 2.5 mit Hinweisen). Ausländische Straftäter,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(zur strengen Praxis des Bundesgerichts in diesem Bereich siehe BGE 131 II 352 E. 4.3.1 S. 359 f. mit Hinweis, Urteile des Bundesgerichts 2C_282/2012 vorerwähnt sowie 2C_768/2011 vom 4. Mai 2012 E. 4.3 und 2C_1029/2011 vom 10. April 2012 E. 3.3.1). Kommt hinzu, dass der Beschwerdeführer die öffentliche Ordnung noch in anderen schützenswerten Bereichen verletzt hat. Es genügt an dieser Stelle der Verweis auf die Verurteilungen wegen Raubes und Vergehens gegen das Waffengesetz.</w:t>
      </w:r>
    </w:p>
    <w:p>
      <w:r>
        <w:rPr>
          <w:b/>
        </w:rPr>
        <w:t>E. 7.2</w:t>
      </w:r>
    </w:p>
    <w:p>
      <w:r>
        <w:t>Auch in subjektiver Hinsicht wiegt das Fehlverhalten des Beschwerdeführers, insbesondere mit Blick auf die letzten strafrichterlich beurteilten Taten, ausgesprochen schwer. Gemäss den kantonalen Akten wurde der Beschwerdeführer am 22. September 2009 verhaftet, da er unter dem Verdacht stand, in Drogengeschäfte verwickelt zu sein. Während der Strafuntersuchung gab er zu, am 21. September 2009 zirka 1,8 Kilogramm Kokain en bloc entgegengenommen und danach bei sich gelagert zu haben. Von dieser Menge hat er rund 300 Gramm für sich abgezweigt, wovon wiederum etwa 100 Gramm für einen Dritten bestimmt waren. Die restlichen 200 Gramm hätte er in gestreckter Form verkaufen wollen und den Restblock von 1,5 Kilogramm weitergegeben, wozu es wegen der Anhaltung nicht mehr kam. Ferner gestand er ein, bereits im Frühjahr 2009 einmal mit ungefähr 100 Gramm Kokain gehandelt und illegalerweise eine Maschinenpistole mit 100 Schuss Munition erworben zu haben. Aufgrund des unangefochten gebliebenen Urteils des Kriminalgerichts des Kantons Luzern vom 2. Juli 2010 ist von einem schweren Verschulden und einer beträchtlichen kriminellen Energie auszugehen. Der Beschwerdeführer, der selber kein Kokain konsumierte, hat sich - vorwiegend um Spielschulden zu begleichen - in Drogengeschäfte eingelassen und war dadurch bereit, die Gesundheit einer Vielzahl von Menschen erheblichen Gefahren auszusetzen. Erschwerend kommen seine führende Stellung am fraglichen Deal sowie der Umstand hinzu, dass er nicht von sich aus vom Handel mit Kokain Abstand nahm, sondern erst infolge seiner Verhaftung. Angesichts dessen ist dem öffentlichen Interesse an einer langjährigen Fernhaltung grosses Gewicht beizumessen.</w:t>
      </w:r>
    </w:p>
    <w:p>
      <w:r>
        <w:rPr>
          <w:b/>
        </w:rPr>
        <w:t>E. 7.3</w:t>
      </w:r>
    </w:p>
    <w:p>
      <w:r>
        <w:t>Im Rahmen der zu stellenden Prognose fällt sodann massgeblich ins Gewicht, dass der Beschwerdeführer über Jahre hinweg immer wieder mit dem Gesetz in Konflikt geriet. Wohl plädiert der Parteivertreter dafür, seinen Mandanten nicht als gewalttätig oder besonders gefährlich einzustufen. Mit Blick auf die übernommene Menge harter Drogen und den Besitz der Maschinenpistole erscheint dieser Einwand freilich nicht geeignet, das deliktische Tun des Betroffenen zu relativieren. Auch die zeitlich schon ziemlich weit zurückliegende Vorstrafe wegen Raubes (siehe Urteil des Kriminalgerichts des Kantons Luzern vom 26. September 2003) kann, da Teil einer Reihe von Verurteilungen, nicht einfach ausgeklammert werden. Gegen den Beschwerdeführer spricht ferner, dass er sich trotz Verwarnung durch die kantonale Migrationsbehörde (August 2007) und einem stabilen familiären Umfeld nicht von der Begehung weiterer Straftaten abhalten liess, sondern seine deliktische Tätigkeit im Jahre 2009 im Gegenteil gar noch intensivierte. Unter dem spezifischen Aspekt des Ausländerrechts (vgl. dazu BGE 137 II 233 E. 5.2.2 S. 236 f.) muss er - vor allem wegen des zuletzt abgeurteilten Handels mit Kokain - mithin über Jahre hinweg als Risikofaktor für die öffentliche Sicherheit betrachtet werden. Aufgrund der vorstehenden Ausführungen kann nicht ernsthaft in Frage gestellt werden, dass vom Beschwerdeführer nach wie vor eine schwerwiegende Gefahr für die öffentliche Sicherheit und Ordnung ausgeht, welche die Verhängung einer mehr als fünf Jahre dauernden Fernhaltemassnahme zulässt (vgl. Art. 67 Abs. 3 AuG sowie BGE 139 II 121 E. 6.2 und 6.3).</w:t>
      </w:r>
    </w:p>
    <w:p>
      <w:r>
        <w:rPr>
          <w:b/>
        </w:rPr>
        <w:t>E. 8</w:t>
      </w:r>
    </w:p>
    <w:p>
      <w:r>
        <w:t>Hinsichtlich seiner persönlichen Interessen weist der Beschwerdeführer darauf hin, dass er seit 1990 in der Schweiz lebe und keine festen Bindungen zu seinem Heimatland mehr habe. Seine Ehefrau und die drei gemeinsamen Kinder seien mit Niederlassungsbewilligungen ebenfalls hierzulande ansässig.</w:t>
      </w:r>
    </w:p>
    <w:p>
      <w:r>
        <w:rPr>
          <w:b/>
        </w:rPr>
        <w:t>E. 8.1</w:t>
      </w:r>
    </w:p>
    <w:p>
      <w:r>
        <w:t>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Die Erteilung und Verlängerung von Aufenthaltsbewilligungen fällt grundsätzlich in die Zuständigkeit der Kantone, wobei im Falle einer Bewilligungserteilung das bestehende Einreiseverbot aufzuheben wäre. Die Niederlassungsbewilligung des Beschwerdeführers wurde von der kantonalen Migrationsbehörde am 14. Oktober 2010 widerrufen. Die Pflege regelmässiger Kontakte zu den engsten Familienangehörigen scheitert damit bereits am fehlenden Anwesenheitsrecht (zum Ganzen vgl. BVGE 2013/4 E. 7.4.1 mit Hinweisen). Im Verfahren bezüglich Widerrufs der Niederlassungsbewilligung abgehandelt wurde ferner der Aspekt des Voraufenthalts; er bildet in casu ebenfalls nicht Verfahrensgegenstand. Somit stellt sich nurmehr die Frage, ob das über die Verweigerung des Aufenthaltsrecht hinausgehende, durch das Einreiseverbot zusätzlich bewirkte Erschwernis vor Art. 8 der Konvention vom 4. November 1950 zum Schutze der Menschenrechte und Grundfreiheiten (EMRK, SR 0.101) und Art. 13 Abs. 1 BV standhält.</w:t>
      </w:r>
    </w:p>
    <w:p>
      <w:r>
        <w:rPr>
          <w:b/>
        </w:rPr>
        <w:t>E. 8.2</w:t>
      </w:r>
    </w:p>
    <w:p>
      <w:r>
        <w:t>Wie vom BFM in der Vernehmlassung angetönt, bestehen die Wirkungen des Einreiseverbots nicht darin, dem Beschwerdeführer während der Geltungsdauer der Massnahme Besuchsaufenthalte bei ihm nahe stehenden Personen in der Schweiz schlichtweg zu untersagen. Er hat vielmehr die Möglichkeit, aus humanitären oder anderen wichtigen Gründen mittels Gesuch die zeitweilige Suspension der angeordneten Fernhaltemassnahme zu beantragen (Art. 67 Abs. 5 AuG). Die Suspension wird aber praxisgemäss nur für eine kurze und klar begrenzte Zeit gewährt (vgl. BVGE 2013/4 E. 7.4.3 mit Hinweis). Im dargelegten Umfang und Rahmen kann den geltend gemachten privaten Interessen indessen Rechnung getragen werden. Daneben ist es der aus dem selben Kulturkreis stammenden Gattin und den Kindern zumutbar, den Beschwerdeführer im Heimatland zu besuchen und den Kontakt auch mittels Telefon und modernen Kommunikationsmitteln aufrecht zu erhalten. Zu beachten gilt es überdies, dass laut den kantonalen Akten beide Elternteile rege Beziehungen zum Kosovo pflegen. Dem mitzuberücksichtigenden Wohl der Kinder (vgl. Art. 3 Abs. 1 des Übereinkommens vom 20. November 1989 über die Rechte des Kindes [SR 0.107]) wird damit Genüge getan. Abgesehen davon schafft das verfassungs- und konventionsrechtlich garantierte Grundreicht auf Familienleben keine ortsbezogenen Rechte (vgl. BGE 130 II 281 E. 3.1 S. 285 f.).</w:t>
      </w:r>
    </w:p>
    <w:p>
      <w:r>
        <w:rPr>
          <w:b/>
        </w:rPr>
        <w:t>E. 8.3</w:t>
      </w:r>
    </w:p>
    <w:p>
      <w:r>
        <w:t>Selbst wenn von einem unter dem Gesichtspunkt von Art. 13 Abs. 1 BV und Art. 8 EMRK relevanten Eingriff ausgegangen würde, wäre ein solcher unter den konkreten Begebenheiten gestützt auf Art. 8 Ziff. 2 EMRK als gerechtfertigt zu erachten. Das deliktische Verhalten des Beschwerdeführers erreicht nämlich zweifelsfrei die erforderliche Schwere, um unter besagtem Blickwinkel einen Eingriff in das Privat- und Familienleben zu begründen (vgl. Urteil des BVGer C-3593/2009 vom 18. Juni 2012 E. 7.3 mit Hinweisen).</w:t>
      </w:r>
    </w:p>
    <w:p>
      <w:r>
        <w:rPr>
          <w:b/>
        </w:rPr>
        <w:t>E. 9</w:t>
      </w:r>
    </w:p>
    <w:p>
      <w:r>
        <w:t>Ein Einreiseverbot auf unbestimmte Dauer wird verhängt, wenn zum Zeitpunkt seiner Anordnung keine zuverlässige Prognose darüber abgegeben werden kann, wie lange seitens der betroffenen Person ein Risiko für die öffentliche Sicherheit und Ordnung ausgehen wird (vgl. BVGE 2013/4 E. 7.3). Die fehlende Befristung bedeutet nicht, dass die Massnahme für immer Gültigkeit haben soll. Treten wesentliche neue Sachumstände ein oder verhält sich die betroffene Person während längerer Zeit klaglos, so kann dies zum Anlass für einen Antrag auf wiedererwägungsweise Überprüfung durch die Vorinstanz genommen werden (für Nichtfreizügigkeitsberechtigte wie den Beschwerdeführer siehe Urteil des Bundesgerichts 2C_487/2012 vom 2. April 2013 E. 4.5.2 und 4.5.3). Der Beschwerdeführer wurde im Januar 2012 aus dem Strafvollzug entlassen, worauf er in sein Heimatland zurückkehrte. Angesichts der schweren Widerhandlung gegen das Betäubungsmittelgesetz und seiner sonstigen Verstösse gegen zum Teil hochrangige Rechtsgüter konnte die Vorinstanz zum Verfügungszeitpunkt noch keine zuverlässige Prognose zur Frage abgeben, wie lange vom Betroffenen ein Risiko für die öffentliche Sicherheit und Ordnung ausgehen wird. Die seither vergangene Bewährungszeit ist viel zu kurz, als dass in unmittelbarer oder mittelbarer Zukunft schon von einer grundlegenden und gefestigten Wandlung ausgegangen werden könnte (vgl. BGE 130 II 493 E. 5 S. 504). Vom Beschwerdeführer ist daher zu verlangen, sich vorerst während einiger Zeit im Ausland zu bewähren. Die unbefristete Anordnung ist somit nicht zu beanstanden.</w:t>
      </w:r>
    </w:p>
    <w:p>
      <w:r>
        <w:rPr>
          <w:b/>
        </w:rPr>
        <w:t>E. 10</w:t>
      </w:r>
    </w:p>
    <w:p>
      <w:r>
        <w:t>Eine wertende Gewichtung der sich gegenüberstehenden Interessen führt das Bundesverwaltungsgericht zum Schluss, dass das auf unbestimmte Dauer erlassene Einreiseverbot eine verhältnismässige und angemessene Massnahme zum Schutz der öffentlichen Sicherheit und Ordnung darstellt.</w:t>
      </w:r>
    </w:p>
    <w:p>
      <w:r>
        <w:rPr>
          <w:b/>
        </w:rPr>
        <w:t>E. 11</w:t>
      </w:r>
    </w:p>
    <w:p>
      <w:r>
        <w:t>Die Vorinstanz hat in der angefochtenen Verfügung ferner die Ausschreibung des Einreiseverbots im SIS angeordnet. Der Beschwerdeführer ist kosovarischer Staatsangehöriger und damit Drittstaatsangehöriger im Sinne von Art. 3 Bst. d SIS-II-VO. Aufgrund der Ausschreibung im SIS ist es ihm untersagt, den Schengen-Raum zu betreten. Der darin liegende Eingriff wird durch die Bedeutung des Falles gerechtfertigt (vgl.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12</w:t>
      </w:r>
    </w:p>
    <w:p>
      <w:r>
        <w:t>Aus diesen Erwägungen folgt, dass die angefochtene Verfügung im Lichte von Art. 49 VwVG nicht zu beanstanden ist. Die Beschwerde ist deshalb abzuweisen.</w:t>
      </w:r>
    </w:p>
    <w:p>
      <w:r>
        <w:rPr>
          <w:b/>
        </w:rPr>
        <w:t>E. 13</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