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C-952/2008 vom 11. März 2009</w:t>
      </w:r>
    </w:p>
    <w:p>
      <w:r>
        <w:t>Bundesverwaltungsgericht, 2009-03-11, FR</w:t>
      </w:r>
    </w:p>
    <w:p>
      <w:r>
        <w:rPr>
          <w:b/>
        </w:rPr>
        <w:t xml:space="preserve">Quelle: </w:t>
      </w:r>
      <w:r>
        <w:t>https://mcp.opencaselaw.ch/entscheid/bvger_C-952_2008</w:t>
      </w:r>
    </w:p>
    <w:p>
      <w:r>
        <w:t>FR: TAF C-952/2008 du 11 mars 2009</w:t>
      </w:r>
    </w:p>
    <w:p>
      <w:r>
        <w:t>IT: TAF C-952/2008 del 11 marzo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Pour autant que la LTAF n'en dispose pas autrement, la procédure devant le TAF est régie par la PA (cf. art. 37 LTAF).</w:t>
      </w:r>
    </w:p>
    <w:p>
      <w:r>
        <w:rPr>
          <w:b/>
        </w:rPr>
        <w:t>E. 1.4</w:t>
      </w:r>
    </w:p>
    <w:p>
      <w:r>
        <w:t>Le recourant, qui est directement touché par la décision entreprise, a qualité pour recourir (art. 48 al. 1 PA). Son recours, présenté dans la forme et les délais prescrits par la loi,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pour autant qu'une autorité cantonale de recours n'ait pas statué sur le même objet de la procédure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130 II 482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(ATF 130 II 169 consid. 2.3.1; 121 II 49 consid. 2b; 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169 consid. 2.3.1; 128 II 97 consid. 3a ;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(ROLAND SCHÄRER, Premières expériences faites depuis l'entrée en vigueur de la dernière révision de la LN, REC 61/1993 p. 359ss ; ATF 130 II 482 consid. 2, 129 II 401 consid. 2.2, 128 II 97 consid. 3; Jurisprudence des autorités administratives de la Confédération [JAAC] 67.103 consid. 20a).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(art. 159 al. 2 et al. 3 CC), voire dans la perspective de la création d'une famille (art. 159 al. 2 CC in fine). Malgré l'évolution des m?urs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(Message du Conseil fédéral relatif à la modification de la loi sur la nationalité du 26 août 1987, Feuille fédérale [FF] 1987 III 300ss, ad art. 26 et 27 du projet ; ATF 130 II 482 consid. 2, 128 II 97 consid. 3a).</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sciemment donné de fausses indications à l'autorité ou l'ait délibérément laissée dans l'erreur sur des faits qu'il savait essentiels, violant ainsi le devoir d'information auquel il est appelé à se conformer en vertu de cette disposition (ATF 132 II 113 consid 3.1 et jurisprudence citée; arrêts du Tribunal fédéral 1C_509/2008 du 16 décembre 2008 consid. 2.1.1, 1C_98/2008 du 16 mai 2008 consid. 3.3, 1C_377/2007 du 10 mars 2008 consid. 3.1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(arrêt du Tribunal fédéral 1C_294/2007 du 30 novembre 2007 consid. 3.3 et jurisprudence citée).</w:t>
      </w:r>
    </w:p>
    <w:p>
      <w:r>
        <w:rPr>
          <w:b/>
        </w:rPr>
        <w:t>E. 5.1</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116 V 307 consid. 2 et jurisprudence citée; arrêt du Tribunal fédéral 1C_509/2008 précité).</w:t>
      </w:r>
    </w:p>
    <w:p>
      <w:r>
        <w:rPr>
          <w:b/>
        </w:rPr>
        <w:t>E. 5.2</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w:t>
      </w:r>
    </w:p>
    <w:p>
      <w:r>
        <w:rPr>
          <w:b/>
        </w:rPr>
        <w:t>E. 5.3</w:t>
      </w:r>
    </w:p>
    <w:p>
      <w:r>
        <w:t>S'agissant d'une présomption de fait, qui ressortit à l'appréciation des preuves et ne modifie pas le fardeau de la preuve (ATF 130 II précité), l'administré n'a pas besoin, pour la renverser, de rapporter la preuve contraire du fait présumé, à savoir faire acquérir à l'autorité la certitude qu'il n'a pas menti; il suffit qu'il parvienne à faire admettre, par l'administration de contre-preuves, l'existence d'une possibilité raisonnable que le couple n'ait pas menti en déclarant former une communauté stable. Il peut le faire en rendant vraisemblable, soit la survenance d'un événement extraordinaire, susceptible d'expliquer une détérioration rapide du lien conjugal, soit l'absence de conscience de la gravité des problèmes de couple et, ainsi, l'existence d'une véritable volonté de maintenir une union stable lorsque la déclaration a été signée (arrêts du Tribunal fédéral 1C_294/2007 précité consid. 3.6, 5A.12/2006 du 23 août 2006 consid. 2.3).</w:t>
      </w:r>
    </w:p>
    <w:p>
      <w:r>
        <w:rPr>
          <w:b/>
        </w:rPr>
        <w:t>E. 6</w:t>
      </w:r>
    </w:p>
    <w:p>
      <w:r>
        <w:t>A titre préliminaire, il sied de relever que les conditions formelles de l'annulation de la naturalisation facilitée prévues à l'art. 41 al. 1 LN sont réalisées. En effet, la naturalisation facilitée accordée le 28 mai 2003 à A._______ a été annulée par l'autorité intimée, avec l'assentiment des autorités du canton d'origine, en date du 18 janvier 2008, soit avant l'échéance du délai péremptoire de cinq ans prévu par la disposition précitée (cf. arrêt du Tribunal fédéral 1C_231/2007 du 14 novembre 2007 consid. 4 et jurisprudence citée).</w:t>
      </w:r>
    </w:p>
    <w:p>
      <w:r>
        <w:rPr>
          <w:b/>
        </w:rPr>
        <w:t>E. 7.1</w:t>
      </w:r>
    </w:p>
    <w:p>
      <w:r>
        <w:t>Il reste dès lors à examiner si les circonstances d'espèce répondent aux conditions matérielles de l'annulation de la naturalisation facilitée issues du texte de la loi, de la volonté du législateur et de la jurisprudence développée en la matière.</w:t>
      </w:r>
    </w:p>
    <w:p>
      <w:r>
        <w:rPr>
          <w:b/>
        </w:rPr>
        <w:t>E. 7.2</w:t>
      </w:r>
    </w:p>
    <w:p>
      <w:r>
        <w:t>Arrivé en Suisse au printemps 1993, le recourant se trouvait sous le coup d'une décision de renvoi exécutoire - sa demande d'asile ayant été définitivement rejetée le 1er décembre 1993 - et était divorcé de sa première épouse, mère de ses deux enfants, depuis un mois et demi, au moment où il a contracté mariage, le 5 décembre 1997, avec B._______, ressortissante suisse de sept ans son aînée, dont il n'avait fait la connaissance que quelques mois auparavant (cf. réponse n° 1.1 du procès-verbal de l'audition rogatoire du 12 septembre 2007 établi par le Bureau du délégué aux étrangers à Neuchâtel), ce qui a mis fin à son séjour illégal dans ce pays. Par la suite, l'intéressé a formé une demande de naturalisation facilitée le 6 juin 2002, avant que le couple ne signe, le 20 mai 2003, la déclaration relative à la stabilité de leur mariage. Le 28 mai 2003, A._______ s'est vu octroyer la nationalité helvétique. Suite au retour en Suisse de ses enfants au mois de décembre 2003, le prénommé a quitté le domicile conjugal pour s'installer avec ces derniers, soit en tout cas moins d'un an après l'obtention de la nationalité suisse (cf. réponse n° 3.7 du procès-verbal précité, convention sur les effets accessoires du divorce du 13 septembre 2005 et courrier du conseil de l'intéressé du 12 novembre 2007 confirmant que la rupture du couple est intervenue à fin 2003). Le 16 septembre 2005, et en l'absence de toutes mesures protectrices de l'union conjugale, les conjoints ont ouvert action par une requête commune tendant au divorce et à la ratification de la convention sur les effets accessoires du divorce, avant que le Tribunal civil du district de Boudry ne dissolve leur union par le divorce, selon jugement du 7 avril 2006. Le 9 novembre 2006, l'intéressé a entrepris des démarches en vue de son remariage avec la mère de ses enfants. Ces éléments et leur enchaînement chronologique particulièrement rapide sont de nature à fonder la présomption de fait que, conformément à la jurisprudence (cf. en ce sens notamment l'arrêt du Tribunal fédéral 5A.22/2006 du 13 juillet 2006, consid. 4.3), la stabilité requise du mariage n'existait déjà plus au moment de la signature de la déclaration de vie commune, à tout le moins lors du prononcé de la naturalisation, et cela quand bien même les époux ne vivaient pas encore séparés à ce moment-là. L'expérience générale de la vie enseigne en effet qu'un ménage uni depuis plusieurs années ne se brise pas en une période aussi brève (soit en un laps de temps tel que celui qui, en l'espèce, s'est écoulé entre la déclaration de vie commune [20 mai 2003], respectivement la naturalisation [28 mai 2003] et l'ouverture de la procédure de divorce [16 septembre 2005]), sans qu'un événement extraordinaire en soit la cause et sans que les conjoints en aient eu le pressentiment, et cela même en l'absence d'enfant, de fortune ou de dépendance financière de l'un des époux par rapport à l'autre (cf. notamment arrêt du Tribunal fédéral 5A.11/2006 du 27 juin 2006, consid. 4.3). A cela s'ajoute la précipitation avec laquelle le recourant a entrepris des démarches en vue de son remariage avec sa première épouse, sept mois après le prononcé du divorce (cf. sur ce point les arrêts du Tribunal fédéral 5A.11/2006 précité, consid. 4.1 et 5A.25/2005 du 18 octobre 2005, consid. 3.1).</w:t>
      </w:r>
    </w:p>
    <w:p>
      <w:r>
        <w:rPr>
          <w:b/>
        </w:rPr>
        <w:t>E. 7.3</w:t>
      </w:r>
    </w:p>
    <w:p>
      <w:r>
        <w:t>Afin de renverser cette présomption, l'intéressé n'a pas rendu vraisemblable la survenance d'un événement extraordinaire susceptible d'expliquer la rupture ou la détérioration du lien conjugal, au sens indiqué plus haut, dans la mesure où les explications données par A._______ dans son recours, selon lesquelles sa relation amoureuse avec son épouse suisse se serait subitement dégradée après le retour en Suisse de ses enfants au mois de décembre 2003, suite à la guerre au Kosovo, n'apparaissent pas convaincantes. En effet, si la présence de ces derniers a pu subitement précipiter la fin de la vie de couple, cet élément ne fait que mettre en lumière la superficialité des liens qui unissaient les conjoints et, partant, l'inconsistance de la communauté conjugale vécue par ces derniers au moment de la signature de la déclaration relative à la communauté conjugale du 20 mai 2003. On ne saurait en effet manifestement pas considérer que ce fait soit de nature à remettre en cause une union prétendument stable quelques mois auparavant. D'ailleurs, le Tribunal constate à cet égard que, lors de son audition du 12 septembre 2007, dont les propos n'ont pas été contestés par l'intéressé (cf. courrier du 12 novembre 2007 et recours du 14 février 2008), B._______ a notamment expliqué que les problèmes conjugaux avaient déjà commencé durant l'année 2000, après l'arrivée en Suisse des enfants de son époux et de leur mère, précisant que ceux-ci séjournaient chez le frère du requérant et que, comme il leur rendait très souvent visite, A._______ n'était plus disponible pour elle. Même si la prénommée a également déclaré avoir signé spontanément la déclaration commune du 20 mai 2003 - dès lors que les enfants étaient retournés dans leur patrie et que son époux était à nouveau plus disponible -, que la communauté conjugale était stable au moment de la naturalisation facilitée et que, bien qu'il y avait des difficultés, elle pensait que leur couple pourrait les surmonter, il n'en demeure pas moins que l'intéressé n'a pas hésité à quitter le domicile conjugal suite au retour en Suisse de ses enfants à fin 2003 pour s'installer avec eux et pour ensuite se remarier avec leur mère (cf. réponses n° 3.2, 3.7, 6.1 et 6.2 du procès-verbal de l'audition rogatoire du 12 septembre 2007).</w:t>
      </w:r>
    </w:p>
    <w:p>
      <w:r>
        <w:rPr>
          <w:b/>
        </w:rPr>
        <w:t>E. 7.4</w:t>
      </w:r>
    </w:p>
    <w:p>
      <w:r>
        <w:t>Compte tenu de l'ensemble de ces circonstances et à défaut de contre-preuves apportées par le recourant, il y a lieu de s'en tenir à la présomption que, au moment de la signature de la déclaration commune, l'intéressé n'avait plus la volonté (si tant est qu'il l'ait jamais eue) de maintenir une communauté conjugale stable, mais que, par son mariage, il cherchait avant tout à obtenir une autorisation de séjour en Suisse et, ultérieurement, la naturalisation facilitée, afin de permettre à la mère de ses enfants et à ceux-ci de bénéficier à leur tour d'un statut favorable dans ce pays. Ainsi que souligné auparavant, les éventuelles difficultés qui peuvent surgir entre époux, après plusieurs années de vie commune, dans une communauté de vie effective, intacte et stable n'entraînent en effet la désunion, selon l'expérience générale, qu'au terme d'un processus prolongé de dégradation des rapports conjugaux, en principe entrecoupé de tentatives de réconciliation (cf. arrêts du Tribunal fédéral 5A.11/2006 précité, consid. 4.1, et 5A.18/2003 du 19 novembre 2003, consid. 2.2). Les divers éléments exposés précédemment sont dès lors de nature à justifier le bien-fondé de la présomption des autorités helvétiques concernant le caractère frauduleux de la demande de naturalisation.</w:t>
      </w:r>
    </w:p>
    <w:p>
      <w:r>
        <w:rPr>
          <w:b/>
        </w:rPr>
        <w:t>E. 7.5</w:t>
      </w:r>
    </w:p>
    <w:p>
      <w:r>
        <w:t>Cette présomption est corroborée au demeurant par plusieurs autres indices. Le mariage entre le recourant - dont le divorce avec la mère de ses enfants avait été prononcé un mois et demi auparavant - et B._______ est intervenu en décembre 1997, soit seulement quelques mois après leur rencontre, alors que l'intéressé se trouvait sous le coup d'une décision de renvoi exécutoire depuis le 1er décembre 1993. Certes, si l'influence exercée par le rejet d'une demande d'asile, ou par le refus d'une autorisation de séjour, sur la décision des conjoints de se marier ne préjuge pas en soi de la volonté que les époux ont ou n'ont pas de fonder une communauté conjugale effective et ne peut constituer un indice de mariage fictif que si elle est accompagnée d'autres éléments troublants, comme une grande différence d'âge entre les époux (cf. sur cette question notamment ATF 121 II 97 consid. 3b et arrêt du Tribunal fédéral 5A.23/2005 du 22 novembre 2005, consid. 4.1, ainsi que les réf. citées), tel est précisément le cas en l'espèce. L'intéressé s'est en effet marié avec une femme de sept ans son aînée, divorcée et mère d'une fille, situation tout à fait inhabituelle dans le milieu socioculturel dont le requérant est issu. A cet égard, il est particulièrement révélateur que le recourant ait entrepris, au mois de novembre 2006, des démarches en vue de son remariage avec sa première épouse, de presque sept ans sa cadette, et mère de ses deux enfants (cf. notamment sur ce point arrêt du Tribunal fédéral 5A.11/2006 précité, consid. 3.1). Par ailleurs, lors de son audition du 12 septembre 2007, la prénommée a en particulier déclaré qu'elle ne savait pas, lors de la conclusion du mariage, que celui-ci vivait clandestinement en Suisse, qu'ils n'avaient pas de loisirs communs, que son époux passait ses week-ends avec ses compatriotes, qu'elle ne s'était jamais rendue dans le pays d'origine de son conjoint, quand bien même celui-ci y retournait trois à quatre fois par année, et qu'il ne lui avait jamais présenté ses enfants, alors qu'il était détenteur de l'autorité parentale (cf. réponses n° 2.1, 3.4, 3.5, 4.1, 4.4, 5.1 et 5.2 du procès-verbal d'audition établi à cette occasion par le Bureau du délégué aux étrangers à Neuchâtel). Or, ces faits ne plaident pas en faveur de l'existence d'une communauté de vie étroite, mais démontrent au contraire que chaque époux manifestait peu d'intérêt pour l'environnement socioculturel de son conjoint (cf. notamment arrêt du Tribunal fédéral 5A.12/2006 du 23 août 2006, consid. 4.1 et 4.2). Ajoutés aux considérations émises antérieurement, ces divers éléments autorisent à penser que la volonté du recourant de fonder une communauté conjugale réelle et surtout, durable, n'apparaît pas établie. Si tant est que l'intéressé ait voulu fonder un couple effectif avec B._______, au sens de l'art. 27 LN, l'Office fédéral pouvait considérer, à bon droit, que cette volonté n'existait plus lors du dépôt de la demande de naturalisation ou, a fortiori, au moment de la signature de la déclaration commune et de l'octroi de la nationalité suisse. Or, celle-ci n'aurait pas été accordée au recourant si ces faits n'avaient pas été cachés aux autorités. Les conditions d'application de l'art. 41 LN sont donc réunies et l'Office fédéral n'a nullement abusé de son pouvoir d'appréciation en annulant la naturalisation facilitée accordée à l'intéressé. Au demeurant, c'est en vain que le recourant fait état de sa situation socio-professionnelle actuelle, ainsi que celle de ses enfants, ces faits étant sans pertinence pour déterminer s'il a obtenu la naturalisation par des déclarations mensongères au sens de la disposition précitée.</w:t>
      </w:r>
    </w:p>
    <w:p>
      <w:r>
        <w:rPr>
          <w:b/>
        </w:rPr>
        <w:t>E. 8</w:t>
      </w:r>
    </w:p>
    <w:p>
      <w:r>
        <w:t>Il ressort de ce qui précède que, par sa décision du 18 janvier 2008,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