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C-950/2011 vom 20. September 2011</w:t>
      </w:r>
    </w:p>
    <w:p>
      <w:r>
        <w:t>Bundesverwaltungsgericht, 2011-09-20, FR</w:t>
      </w:r>
    </w:p>
    <w:p>
      <w:r>
        <w:rPr>
          <w:b/>
        </w:rPr>
        <w:t xml:space="preserve">Quelle: </w:t>
      </w:r>
      <w:r>
        <w:t>https://mcp.opencaselaw.ch/entscheid/bvger_C-950_2011</w:t>
      </w:r>
    </w:p>
    <w:p>
      <w:r>
        <w:t>FR: TAF C-950/2011 du 20 septembre 2011</w:t>
      </w:r>
    </w:p>
    <w:p>
      <w:r>
        <w:t>IT: TAF C-950/2011 del 20 settembre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4 octobre 2010 est le bien-fondé, suite à la demande de révision du droit à la rente du 16 mai 2008, de la réduction à une demi-rente pour un taux d'invalidité de 53% avec effet au 1er mai 2009 des trois quarts de rente d'invalidité, perçue par l'intéressé à compter du 1er juin 2006 pour un taux d'invalidité de 60% par décision du 18 mars 2008.</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et 125 V 369 consid. 2). En l'espèce, l'octroi de trois quarts de rente par décision du 18 mars 2008 de l'OAIE est la base de comparaison avec la décision de réduction à une demi-rente du 4 octobre 2010.</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En l'espèce, le rapport BEGAZ du 29 mai 2007 retint le diagnostic avec incidence sur la capacité de travail de syndrome lomboradiculaire et moteur L5 bilatéral et S1 gauche avec incontinences mixtes intermittentes, hernie discale L2/L3 avec compression du sac dural, hernie discale L4/L5 et L5/S1 avec possible compression neurale L5 bilatérale et S1 gauche, compression du plateau L3 post-traumatique possible justifiant, notamment en raison de l'installation d'un syndrome de la queue de cheval, une incapacité de travail totale tant pour l'ancienne activité lourde précédemment exercée que pour des activités légères adaptées (rapport du 12 avril 2007 de la Dresse F._______, pce 18 p. 10). Cette appréciation fut cependant remise en question par le Dr G._______ de l'Hôpital universitaire de Bâle (rapport du 21 novembre 2007) qui conclut à la possibilité d'une activité légère adaptée de 4 heures par jour sans port de charges à la suite de mesures adéquates de réhabilitation. Il s'ensuivit une appréciation par l'OAI-BS de la possibilité d'une activité à 50% dans des activités simples et répétitives légères dans le secteur privé toutes branches confondues, prenant en compte une diminution de 10% du revenu théorique pour motif d'âge et de travaux légers, occasionnant une perte de gain de 60%. Ce taux détermina ainsi le droit à trois quarts de rente à compter du 1er juin 2006.</w:t>
      </w:r>
    </w:p>
    <w:p>
      <w:r>
        <w:rPr>
          <w:b/>
        </w:rPr>
        <w:t>E. 8.2</w:t>
      </w:r>
    </w:p>
    <w:p>
      <w:r>
        <w:t>Le 16 mai 2008 l'intéressé informa l'administration de l'aggravation de son état de santé en raison d'une pancréatite avec hospitalisation. L'assuré fut à nouveau examiné par le BEGAZ qui dans un rapport du 25 août 2008 retint objectivement sur le plan rhumatismal les mêmes atteintes à la santé sous réserve de la non confirmation du syndrome de la queue de cheval et, liées, des incontinences mixtes intermittentes. Sur le plan clinique il fut relevé une mobilité lombosacrale pratiquement non restreinte sans douleur lancinante, une possible faiblesse de l'élévateur du pied gauche, une force normale des abaisseurs des pieds, pas de trouble de sensibilité et de réflexe aux membres inférieurs, des cervicobrachialgies en relation avec les discopathies dégénératives, pas de compression radiculaire tant clinique que démontrée au rayon x, un rachis non limité, une musculature des épaules et de la nuque sans contracture, pas de syndrome du tunnel carpien (qui avait été suspecté en 2008), des douleurs lombaires avec irradiation aux épaules et à la nuque non objectivées. Ce constat clinique objectif, non aggravé par la pancréatite qualifiée alors de non invalidante au vu de la documentation à disposition, détermina selon les médecins du BEGAZ un status nettement amélioré par rapport à celui déterminé dans le rapport du 29 mai 2007. Le Tribunal de céans relève une amélioration de mobilité de l'intéressé du point de vue rhumatologique/orthopédique, le fait nouvellement énoncé de la possibilité de port de charges de 10kg, le défaut d'incontinences mixtes intermittentes et du syndrome de la queue de cheval suspecté. Il confirme une amélioration notable de l'état de santé de l'intéressé mais relève que le rapport BEGAZ ne s'est pas déterminé sur l'incidence de la pancréatite chronique. La décision du 3 mars 2009 fut ainsi annulée sur proposition de l'administration suite à la prise de position du Dr H._______ du 19 mai 2009 ayant retenu sur la base des nouvelles pièces la nécessité de procéder à un examen complémentaire. En se référant au rapport de ce médecin, le recourant fait valoir que son état se serait définitivement aggravé. Or, le rapport du Dr H._______ énonce certes une aggravation mais il ne s'est pas prononcé sur l'incidence sur la capacité de travail. En outre, le Dr H._______ a explicitement réservé des examens complémentaires. Le rapport du 19 mai 2009 ne peut donc pas permettre à lui seul de se prononcer sur la demande de révision.</w:t>
      </w:r>
    </w:p>
    <w:p>
      <w:r>
        <w:rPr>
          <w:b/>
        </w:rPr>
        <w:t>E. 8.3</w:t>
      </w:r>
    </w:p>
    <w:p>
      <w:r>
        <w:t>Il est apparu de la dernière expertise du BEGAZ du 16 novembre 2009 un diagnostic des atteintes à la santé dans la lignée du précédent rapport du 25 août 2008 précisant sur le plan gastro-entérologue un bon status et pas de limitation de la capacité de travail sous réserve de périodes d'inflammation du pancreas. Le rapport précisa que la pancréatite chronique pouvait influencer la capacité de travail mais non durablement et qu'en raison de la médication suivie les activités avec risque élevé de blessure par exemple sur machine devaient être écartées. Par ailleurs, le rapport confirma une incapacité de travail de 40% dans une activité adaptée précisant qu'il pouvait être attendu de l'assuré un comportement adéquat favorisant l'activité résiduelle exigible. Le Tribunal de céans ne peut que confirmer le bien-fondé de l'appréciation médicale faite du dossier et l'appréciation de la capacité de travail résiduelle de l'assuré à même d'effectuer des activités de surveillance et de contrôle, du travail sans danger de se couper à l'établi en position debout et assis alternée. Cette amélioration, constatée pour la première fois dans le rapport du 25 août 2008 du BEGAZ, a en la substance été confirmée par la suite. Les rapports d'IRM de novembre 2010 ne remettent pas en question cette appréciation et le rapport psychiatrique du Dr J._______ du 21 octobre 2010 ne fait état que d'un traitement initié à la date de ce rapport pour un syndrome dépressif réactionnel. En soi ce rapport n'établit pas une incapacité de travail pour trouble psychiatrique grave antérieure à la date de la décision attaquée.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10.1</w:t>
      </w:r>
    </w:p>
    <w:p>
      <w:r>
        <w:t>En l'espèce il y a lieu de procéder à une évaluation de l'invalidité selon la méthode générale par une comparaison de revenus sur la base de l'Enquête suisse sur la structure des salaires 2008 car il appert que c'est à compter de l'expertise du BEGAZ d'août 2008 que l'intéressé a présenté une capacité de travail à 60% dans une activité adaptée. En effet, selon la jurisprudence, les salaires avant et après invalidité doivent être pris en compte indexés jusqu'à la date de la survenance du droit théorique éventuel à la rente suite au délai d'attente d'une année (ATF 128 V 174 et 129 V 222).</w:t>
      </w:r>
    </w:p>
    <w:p>
      <w:r>
        <w:rPr>
          <w:b/>
        </w:rPr>
        <w:t>E. 10.2</w:t>
      </w:r>
    </w:p>
    <w:p>
      <w:r>
        <w:t>Il doit être retenu comme base de comparaison sans invalidité le revenu de l'intéressé dans son emploi en 2005 (indice: 115.2 sur base de 100 en 1993), soit, y compris le 13ème salaire, le montant de Fr. 65'650 par année (Fr. 5'050 .- x 13). Indexé selon les salaires nominaux valeur 2008 (indice:120.9), ce montant s'élève à Fr. 68'898.30 ou Fr. 5'741.52 par mois.</w:t>
      </w:r>
    </w:p>
    <w:p>
      <w:r>
        <w:rPr>
          <w:b/>
        </w:rPr>
        <w:t>E. 10.3</w:t>
      </w:r>
    </w:p>
    <w:p>
      <w:r>
        <w:t>Le salaire après invalidité doit être fixé sur la base des données statistiques résultant de l'Enquête suisse sur les salaires 2008 (table TA1). En l'occurrence les activités de substitution possibles s'inscrivent dans la détermination du revenu médian toutes branches confondues des hommes dans le secteur privé pour des activités simples et répétitives (niveau 4) à 100%, soit Fr. 4'806.- pour 40 h./sem. et Fr. 4'998.24 pour 41.6 h./sem., sous déduction de 10% pour tenir compte de l'âge de l'assuré et de ses restrictions personnelles aux activités légères, soit Fr. 4'498.41.-. Au taux d'activité de 60% ce montant s'élève à Fr. 2'699.04 De nombreuses activités d'entre elles peuvent être exercées sans efforts moyennement importants en position assise et debout autorisant le changement de position, ou encore plus généralement de type sédentaire, de sorte que ces activités sont adaptées au handicap du recourant. De plus, la majeure partie de ces postes ne nécessite pas de formation particulière autre qu'une mise au courant initiale.</w:t>
      </w:r>
    </w:p>
    <w:p>
      <w:r>
        <w:rPr>
          <w:b/>
        </w:rPr>
        <w:t>E. 10.4</w:t>
      </w:r>
    </w:p>
    <w:p>
      <w:r>
        <w:t>En comparant le salaire avant invalidité de Fr. 5'741.52 avec celui après invalidité de Fr. 2'699.04, on obtient une perte de gain de 52.99% arrondie à 53% ([5'741.52 - 2'699.04] : 5'741.52 x 100). Même indexés valeurs 2010, année de la décision attaquée, les revenus à comparer ne permettent pas d'atteindre un taux d'invalidité égal ou supérieur à 60%.</w:t>
      </w:r>
    </w:p>
    <w:p>
      <w:r>
        <w:rPr>
          <w:b/>
        </w:rPr>
        <w:t>E. 10.5</w:t>
      </w:r>
    </w:p>
    <w:p>
      <w:r>
        <w:t>C'est donc à raison que l'OAIE a réduit la prestation versée au recourant de trois quarts de rente à la demi-rente. Cette réduction peut prendre effet au 1er mai 2009 étant donné que l'amélioration a été constatée le 25 août 2008 et qu'elle durait déjà depuis plus de trois mois à la date de la réduction (voir ci-dessus consid. 5.3, ATF 129 V 370 confirmé par arrêt du Tribunal fédéral 8C_451/2010 du 11 novembre 2010). Il appert de ce qui précède que le recours doit être rejeté et la décision attaquée confirmée.</w:t>
      </w:r>
    </w:p>
    <w:p>
      <w:r>
        <w:rPr>
          <w:b/>
        </w:rPr>
        <w:t>E. 11</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 si, comme en l'espèce, l'intéressée est encore relativement jeune.</w:t>
      </w:r>
    </w:p>
    <w:p>
      <w:r>
        <w:rPr>
          <w:b/>
        </w:rPr>
        <w:t>E. 12.1</w:t>
      </w:r>
    </w:p>
    <w:p>
      <w:r>
        <w:t>Les frais de procédure, fixés à CHF 400.-, sont mis à la charge du recourant (art. 63 al. 1 PA, applicable par le truchement de l'art. 37 LTAF). Ils sont compensés par l'avance de frais du même montant dont il s'est acquitté au cours de l'instruction.</w:t>
      </w:r>
    </w:p>
    <w:p>
      <w:r>
        <w:rPr>
          <w:b/>
        </w:rPr>
        <w:t>E. 12.2</w:t>
      </w:r>
    </w:p>
    <w:p>
      <w:r>
        <w:t>Vu l'issue du litige, il n'est pas alloué d'indemnité de dépens (art. 7 al. 3 du règlement du 21 février 2008 concernant les frais, dépens et indemnités fixés par le Tribunal administratif fédéral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