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C-949/2019 vom 14. Mai 2019</w:t>
      </w:r>
    </w:p>
    <w:p>
      <w:r>
        <w:t>Bundesverwaltungsgericht, 2019-05-14, DE</w:t>
      </w:r>
    </w:p>
    <w:p>
      <w:r>
        <w:rPr>
          <w:b/>
        </w:rPr>
        <w:t xml:space="preserve">Quelle: </w:t>
      </w:r>
      <w:r>
        <w:t>https://mcp.opencaselaw.ch/entscheid/bvger_C-949_2019</w:t>
      </w:r>
    </w:p>
    <w:p>
      <w:r>
        <w:t>FR: TAF C-949/2019 du 14 mai 2019</w:t>
      </w:r>
    </w:p>
    <w:p>
      <w:r>
        <w:t>IT: TAF C-949/2019 del 14 maggio 2019</w:t>
      </w:r>
    </w:p>
    <w:p>
      <w:pPr>
        <w:pStyle w:val="Heading2"/>
      </w:pPr>
      <w:r>
        <w:t>Regeste</w:t>
      </w:r>
    </w:p>
    <w:p>
      <w:r>
        <w:t>Marktüberwachung</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Es wird keine Parteientschädigung zugesprochen.</w:t>
      </w:r>
    </w:p>
    <w:p>
      <w:r>
        <w:rPr>
          <w:b/>
        </w:rPr>
        <w:t>E. 4</w:t>
      </w:r>
    </w:p>
    <w:p>
      <w:r>
        <w:t>Dieses Urteil geht an: - den Beschwerdeführer (Einschreiben mit Rückschein) - die Vorinstanz (Ref-Nr. [...]; Gerichtsurkunde) - die Verfügungsadressatin (zur Kenntnis; Einschreiben) - das Eidgenössische Departement des Innern (Einschreiben). Der Einzelrichter: Die Gerichtsschreiberin: Christoph Rohrer Nadja Francke Rechtsmittelbelehrung: Gegen diesen Entscheid kann innert 30 Tagen nach Eröffnung beim Bundesgericht, 1000 Lausanne 14,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