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C-947/2011 vom 27. November 2012</w:t>
      </w:r>
    </w:p>
    <w:p>
      <w:r>
        <w:t>Bundesverwaltungsgericht, 2012-11-27, DE</w:t>
      </w:r>
    </w:p>
    <w:p>
      <w:r>
        <w:rPr>
          <w:b/>
        </w:rPr>
        <w:t xml:space="preserve">Quelle: </w:t>
      </w:r>
      <w:r>
        <w:t>https://mcp.opencaselaw.ch/entscheid/bvger_C-947_2011</w:t>
      </w:r>
    </w:p>
    <w:p>
      <w:r>
        <w:t>FR: TAF C-947/2011 du 27 novembre 2012</w:t>
      </w:r>
    </w:p>
    <w:p>
      <w:r>
        <w:t>IT: TAF C-947/2011 del 27 novembre 2012</w:t>
      </w:r>
    </w:p>
    <w:p>
      <w:pPr>
        <w:pStyle w:val="Heading2"/>
      </w:pPr>
      <w:r>
        <w:t>Regeste</w:t>
      </w:r>
    </w:p>
    <w:p>
      <w:r>
        <w:t>Freiwillige Versicherung</w:t>
      </w:r>
    </w:p>
    <w:p>
      <w:pPr>
        <w:pStyle w:val="Heading2"/>
      </w:pPr>
      <w:r>
        <w:t>Erwägungen</w:t>
      </w:r>
    </w:p>
    <w:p>
      <w:r>
        <w:rPr>
          <w:b/>
        </w:rPr>
        <w:t>E. 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2</w:t>
      </w:r>
    </w:p>
    <w:p>
      <w:r>
        <w:t>Der Beschwerdeführer ist durch den angefochtenen Entscheid besonders berührt und hat an dessen Aufhebung oder Änderung ein schutzwürdiges Interesse (Art. 48 Abs. 1 VwVG; vgl. auch Art. 59 ATSG). Er ist zur Beschwerde legitimiert.</w:t>
      </w:r>
    </w:p>
    <w:p>
      <w:r>
        <w:rPr>
          <w:b/>
        </w:rPr>
        <w:t>E. 3</w:t>
      </w:r>
    </w:p>
    <w:p>
      <w:r>
        <w:t>Die Beschwerde ist innerhalb von 30 Tagen nach Eröffnung der Verfügung oder des Einspracheentscheides einzureichen (Art. 60 Abs. 1 des Bundesgesetzes vom 6. Oktober 2000 über den Allgemeinen Teil des Sozialversicherungsrechts [ATSG, SR 830.1], vgl. auch Art. 50 Abs. 1 VwVG). Der angefochtene Einspracheentscheid vom 11. Januar 2011 wurde dem Versicherten per Einschreiben mit Rückschein zugeschickt und am 27. Januar 2011 zugestellt. Die am 29. Januar 2011 datierte Eingabe ist beim Bundesverwaltungsgericht am 9. Februar 2011 eingegangen. Die Beschwerde erfolgte fristgerecht. Da die Beschwerde im Übrigen auch formgerecht eingereicht wurde (Art. 52 VwVG), ist auf sie einzutreten.</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4.2</w:t>
      </w:r>
    </w:p>
    <w:p>
      <w:r>
        <w:t>In materiellrechtlicher Hinsicht sind grundsätzlich diejenigen Rechtsvorschriften anwendbar, die bei Erfüllung des zu Rechtsfolgen führenden Sachverhalts Geltung haben (BGE 134 V 315 E. 1.2; BGE 130 V 329 E. 2.3).</w:t>
      </w:r>
    </w:p>
    <w:p>
      <w:r>
        <w:rPr>
          <w:b/>
        </w:rPr>
        <w:t>E. 4.3</w:t>
      </w:r>
    </w:p>
    <w:p>
      <w:r>
        <w:t>Zwischen der Schweiz und Peru besteht kein Abkommen im Bereich des Sozialversicherungsrechts oder des Verfahrensrechtes im Bereich der Sozialversicherung, so dass das schweizerische Recht zur Anwendung kommt.</w:t>
      </w:r>
    </w:p>
    <w:p>
      <w:r>
        <w:rPr>
          <w:b/>
        </w:rPr>
        <w:t>E. 5</w:t>
      </w:r>
    </w:p>
    <w:p>
      <w:r>
        <w:t>Anfechtungsobjekt der Beschwerde ist der Einspracheentscheid vom 11. Januar 2011. Streitig und im Folgenden zu prüfen ist, ob die Vorinstanz zu Recht auf die Einsprache des Beschwerdeführers nicht eingetreten ist.</w:t>
      </w:r>
    </w:p>
    <w:p>
      <w:r>
        <w:rPr>
          <w:b/>
        </w:rPr>
        <w:t>E. 6</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endigt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w:t>
      </w:r>
    </w:p>
    <w:p>
      <w:r>
        <w:rPr>
          <w:b/>
        </w:rPr>
        <w:t>E. 7</w:t>
      </w:r>
    </w:p>
    <w:p>
      <w:r>
        <w:t>Zu prüfen ist somit die Frage, zu welchem Zeitpunkt der Fristenlauf begonnen hat.</w:t>
      </w:r>
    </w:p>
    <w:p>
      <w:r>
        <w:rPr>
          <w:b/>
        </w:rPr>
        <w:t>E. 7.1</w:t>
      </w:r>
    </w:p>
    <w:p>
      <w:r>
        <w:t>Damit eine Verfügung überhaupt wirksam werden kann, bedarf es der Eröffnung, der Bekanntgabe des Inhalts an die Verfügungsadressaten. Die nicht eröffnete Verfügung vermag keine Rechtswirkung zu entfalten (vgl. Jürg Stadelwieser, Die Eröffnung von Verfügungen, St. Gallen 1994, S. 10). Unter Eröffnung der Verfügung ist die gehörige Bekanntgabe der Verfügung zu verstehen. Dies geschieht bei mittelbarer Bekanntgabe, d. h. bei Abwesenheit des Verfügungsadressaten, durch individuelle Zustellung der Verfügung an dessen Zustelladresse. Der Vorgang der Zustellung ist lediglich Teilhandlung des Eröffnungsvorgangs (vgl. Stadelwieser, a.a.O., S. 12). 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109 Ia 15 E. 4; vgl. zum Ganzen auch Urteil des Bundesverwaltungsgerichts A-1514/2006 vom 14. Februar 2008, E. 2.3 und 2.4). Der Beweis der Eröffnung, insbesondere der Zustellung einer Verfügung und deren Zeitpunkt, obliegt der Behörde (BGE 101 Ia 9; Alfred Kölz / Isabelle Häner, Verwaltungsverfahren und Verwaltungsrechtspflege des Bundes, 2. Aufl., Zürich 1998, S. 123).</w:t>
      </w:r>
    </w:p>
    <w:p>
      <w:r>
        <w:rPr>
          <w:b/>
        </w:rPr>
        <w:t>E. 7.2</w:t>
      </w:r>
    </w:p>
    <w:p>
      <w:r>
        <w:t>Das Bundesverwaltungsgericht hat sich in seinem Urteil A-1529/2008 vom 5. Mai 2008 E. 2.3 mit der Eröffnung von Verfügungen im Ausland auseinandergesetzt: Diese unterliegt besonderen Regeln, da sie einen hoheitlichen Akt darstellt, deren Ausführung grundsätzlich ausschliesslich den territorial zuständigen, d. h. inländischen Behörden zusteht (vgl. BGE 124 V 47 E. 3a, BGE 105 Ia 307 E. 3b, BGE 103 III 1 E. 2). Deshalb hat die Zustellung einer Verfügung ins Ausland auf diplomatischem oder konsularischem Weg zu erfolgen (vgl. BGE 103 III 1 E. 2). Von dieser Regel kann nur abgewichen werden, wenn ein Staatsvertrag dies ausdrücklich vorsieht (Jean Francois Poudret, Commentaire de la loi fédérale d'organisation judiciaire, Band I, Bern 1990, S. 170 f.). Die direkte postalische Zustellung eines amtlichen Schriftstücks ins Ausland ist ein Hoheitsakt auf fremdem Staatsgebiet, der nicht ohne Zustimmung des fremden Staates vorgenommen werden darf (BGE 105 Ia 307 E. 3b in initio, BGE 103 III 1 E. 2b). Eine Zustellung ohne Zustimmung des fremden Staats ist rechtswidrig, da sie das grundlegende völkerrechtliche Prinzip der Souveränität der Staaten verletzt (René A. Rhinow / Beat Krähenmann, Schweizerische Verwaltungsrechtsprechung, Ergänzungsband, Basel 1990, Nr. 84 I k mit weiteren Hinweisen); sie stellt eine Verletzung der Gebietshoheit des Territorialstaats dar.</w:t>
      </w:r>
    </w:p>
    <w:p>
      <w:r>
        <w:rPr>
          <w:b/>
        </w:rPr>
        <w:t>E. 7.3</w:t>
      </w:r>
    </w:p>
    <w:p>
      <w:r>
        <w:t>Die Eröffnung der Verfügung erfolgt grundsätzlich schriftlich (Art. 49 Abs. 1 ATSG). Nach Art. 55 Abs. 1bis ATSG kann der Bundesrat vorsehen, dass die Bestimmungen des VwVG über den elektronischen Verkehr mit Behörden auch für Verfahren im Bereich des ATSG gelten. Demnach könnte die Eröffnung von Verfügungen unter gewissen Voraussetzungen und mit dem Einverständnis der Partei auf dem elektronischen Weg erfolgen (Art. 34 Abs. 1bis VwVG). Der Bundesrat hat aber von der ihm in Art. 55 Abs. 1bis ATSG übertragenen Kompetenz keinen Gebrauch gemacht (vgl. Ueli Kieser, ATSG-Kommentar, 2. Auflage, Zürich 2009, hiernach: Kieser, ATSG-Kommentar, N. 15 - 17 zu Art. 55). Da das ATSG mit Art. 55 Abs. 1bis für den elektronischen Verkehr eine Regelung enthält, finden die Bestimmungen des VwVG auch keine direkte Anwendung auf der Grundlage der Verweisungsnorm von Art. 55 Abs. 1 ATSG. Die Eröffnung einer Verfügung in elektronischer Form ist im Beitragsrecht der Sozialversicherung somit nicht vorgesehen.</w:t>
      </w:r>
    </w:p>
    <w:p>
      <w:r>
        <w:rPr>
          <w:b/>
        </w:rPr>
        <w:t>E. 7.4</w:t>
      </w:r>
    </w:p>
    <w:p>
      <w:r>
        <w:t>Nach der Rechtsprechung ist nicht jede mangelhafte Eröffnung schlechthin nichtig mit der Konsequenz, dass die Rechtsmittelfrist nicht zu laufen beginnen könnte. Nach Art. 49 Abs. 2 ATSG darf einer Person aus der mangelhaften Eröffnung einer Verfügung kein Nachteil erwachsen. Aus diesem Grundsatz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98 V 278 f.). So lässt sich mit den Grundsätzen des Vertrauensschutzes und der Rechtssicherheit nicht vereinbaren, dass ein Verwaltungsakt wegen mangelhafter Rechtsmittelbelehrung jederzeit an das Gericht weitergezogen werden kann; vielmehr muss ein solcher Verwaltungsakt innerhalb einer vernünftigen Frist in Frage gestellt werden (BGE 111 V 149 E. 4c, 132 I 249 E. 6, 106 V 97 Erw. 2a, BGE 104 V 166 Erw. 3, vgl. auch BGE 105 V 111 Erw. 3 in fine).</w:t>
      </w:r>
    </w:p>
    <w:p>
      <w:r>
        <w:rPr>
          <w:b/>
        </w:rPr>
        <w:t>E. 7.5</w:t>
      </w:r>
    </w:p>
    <w:p>
      <w:r>
        <w:t>Der Versicherte machte in der Beschwerde geltend, er habe angenommen, für den Beginn des Fristenlaufs sei auf den Erhalt der gedruckten Verfügung abzustellen. Er begründet dies insbesondere mit dem Hinweis in der Rechtsmittelbelehrung, wonach die angefochtene Verfügung der Einsprache beigelegt werden müsse, was erst nach Empfang der Verfügung in Briefform möglich gewesen sei. Es stellt sich damit die Frage, ob der Beschwerdeführer durch den Eröffnungsmangel irregeführt worden ist.</w:t>
      </w:r>
    </w:p>
    <w:p>
      <w:r>
        <w:rPr>
          <w:b/>
        </w:rPr>
        <w:t>E. 7.5.1</w:t>
      </w:r>
    </w:p>
    <w:p>
      <w:r>
        <w:t>Bezüglich des Empfangs der schriftlichen Verfügung sind die Angaben des Beschwerdeführers in seiner Einsprache und Beschwerde widersprüchlich. In der Einsprache vom 9. Oktober 2010 (act. 34) führte er aus, die Beitragsverfügung für das Jahr 2009 habe er am 11. September 2010 erhalten. Die beigelegte Verfügung trägt oben rechts den handschriftlichen Vermerk «11.09.10». In der Beschwerde vom 29. Januar 2011 (BVGer-act. 1) machte er demgegenüber geltend, die Verfügung sei am 30. September 2010 bei ihm eingetroffen. In seiner ergänzenden Stellungnahme vom 24. September 2012 (BVGer act. 10) führte der Beschwerdeführer aus, die Angabe in der Einsprache beziehe sich auf den Empfang der Verfügung in elektronischer Form. Die Einspracheverfügung in schriftlicher Form sei ihm am 30. September 2010 per Post zugestellt worden. Auch nach der Nachinstruktion bleibt bezüglich des Datums der Übermittlung der Verfügung per E-Mail ein Widerspruch zwischen der Angabe des Beschwerdeführers in seiner Beschwerdeschrift (14. September 2010; BVGer act. 1) einerseits und den Angaben in seiner Einsprache vom 9. Oktober 2010 und in der Eingabe vom 24. September 2012 (11. September 2010; act. 34 und BVGer act. 10) andererseits. Tatsächlich wurde die Verfügung in elektronischer Form am 14. September 2010 übermittelt (act. 32). Ein weiterer Widerspruch besteht darin, dass sich der Beschwerdeführer in seiner Beschwerde darauf berief, der Einsprache hätte die Originalverfügung beigelegt werden müssen, dieser jedoch ein Exemplar beilegte, welches nach seinen Angaben mit dem Datum der elektronischen Übermittlung versehen ist («11.09.10»)</w:t>
      </w:r>
    </w:p>
    <w:p>
      <w:r>
        <w:rPr>
          <w:b/>
        </w:rPr>
        <w:t>E. 7.5.2</w:t>
      </w:r>
    </w:p>
    <w:p>
      <w:r>
        <w:t>Bezüglich der unterschiedlichen Nennungen des Empfangsdatums ist zu vermerken, dass die erste Angabe in der Einsprache erfolgt war, bevor der Beschwerdeführer im Einspracheentscheid erstmals mit der Fristproblematik konfrontiert wurde. Die Angabe des späteren Empfangsdatums erfolgte demgegenüber in Kenntnis der drohenden Rechtsfolgen einer Fristversäumnis. Bei der Beweiswürdigung kann der nach dem Einspracheentscheid, in Kenntnis der Fristproblematik, erhobenen Behauptung nicht der gleiche Beweiswert zuerkannt werden wie der ersten, von rechtlichen Überlegungen unbeeinflussten Aussage in der Einsprache (vgl. BGE 121 45 E. 2 b; BGE 115 V 133 E 8 c; Urteil U 236/03 vom 19. Mai 2004 E. 3.3.4).</w:t>
      </w:r>
    </w:p>
    <w:p>
      <w:r>
        <w:rPr>
          <w:b/>
        </w:rPr>
        <w:t>E. 7.6</w:t>
      </w:r>
    </w:p>
    <w:p>
      <w:r>
        <w:t>Unter Berücksichtigung der widersprüchlichen Angaben zum Empfangsdatum erscheint es nicht wahrscheinlich, dass der Versicherte, der die elektronische Übermittlung der Verfügung selbst beantragt hat, durch den gerügten Eröffnungsmangel tatsächlich irregeführt und dadurch benachteiligt worden ist. Demnach ist das Datum der elektronischen Übermittlung der Verfügung am 14. September 2010 als Zustelldatum massgebend.</w:t>
      </w:r>
    </w:p>
    <w:p>
      <w:r>
        <w:rPr>
          <w:b/>
        </w:rPr>
        <w:t>E. 8</w:t>
      </w:r>
    </w:p>
    <w:p>
      <w:r>
        <w:t>Zu prüfen ist in der Folge, ob die Einsprachefrist mit der Eingabe vom 9. Oktober 2010 (act. 34) gewahrt wurde.</w:t>
      </w:r>
    </w:p>
    <w:p>
      <w:r>
        <w:rPr>
          <w:b/>
        </w:rPr>
        <w:t>E. 8.1</w:t>
      </w:r>
    </w:p>
    <w:p>
      <w:r>
        <w:t>Die Einsprache erfolgte auf dem Postweg und ging bei der Vorinstanz am 22. Oktober 2010 ein (act. 34, 35, BVGer-act 6 und BVGer act. 11). Aufgrund der Zustellung am 14. September 2010 (Dienstag) endete die Einsprachefrist am 11. Oktober 2010 respektive am 15. Oktober 2010.</w:t>
      </w:r>
    </w:p>
    <w:p>
      <w:r>
        <w:rPr>
          <w:b/>
        </w:rPr>
        <w:t>E. 8.2</w:t>
      </w:r>
    </w:p>
    <w:p>
      <w:r>
        <w:t>Nach Art. 39 Abs. 1 ATSG ist zur Wahrung der Frist alternativ die Einreichung beim Versicherungsträger oder die Übergabe an die schweizerische Post massgebend. Art. 39 Abs. 1 ATSG entspricht der Formulierung von Art. 21 Abs. 1 VwVG, so dass die zu dieser Bestimmung ergangene Rechtsprechung ebenfalls massgebend ist (Kieser, ATSG-Kommentar, N. 2 zu Art. 39). Damit der Partei eine nicht eingehaltene Frist entgegengehalten werden kann, ist massgebend, dass die entsprechende Fristansetzung korrekt erfolgte. Um sich gegenüber einer im Ausland wohnhaften versicherten Person auf die in Art. 21 Abs. 1 VwVG enthaltene Regel berufen zu können, wonach eine Beschwerdeschrift der schweizerischen Post zu übergeben ist, muss die Verwaltung diese Gesetzesbestimmung in der Rechtsmittelbelehrung wörtlich wiedergeben (BGE 125 V 65 E. 4). In der Rechtsmittelbelehrung der Verfügung vom 23. Juni 2010 (act. 30) ist kein Hinweis auf die Massgeblichkeit der Übergabe an die Schweizerische Post enthalten. Nach der Rechtsprechung des Bundesgerichts kann sich die Vorinstanz somit nicht darauf berufen, die Übergabe an die Schweizerische Post sei zu spät erfolgt. Die Frist wäre auch mit Übergabe der Eingabe spätestens am letzten Tag der Frist an die peruanische Post gewahrt.</w:t>
      </w:r>
    </w:p>
    <w:p>
      <w:r>
        <w:rPr>
          <w:b/>
        </w:rPr>
        <w:t>E. 8.3</w:t>
      </w:r>
    </w:p>
    <w:p>
      <w:r>
        <w:t>Der Beschwerdeführer führte in seiner ergänzenden Stellungnahme vom 24. September 2012 (BVGer act. 10) aus, er habe die Einsprache am 9. Oktober 2010 der peruanischen Post übergeben. Als Beweismittel nannte er den bei der SAK zu edierenden Briefumschlag. In der Regel genügt der Poststempel als Nachweis für die rechtzeitige Postaufgabe (Urs Peter Cavelti, in Christoph Auer, Markus Müller, Benjamin Schindler, Hrsg., Kommentar zum Bundesgesetz über das Verwaltungsverfahren [VwVG], Zürich / St. Gallen 2008, hiernach Kommentar VwVG, N. 5 zu Art. 21). Der Briefumschlag, mit welchem die Einsprache der Vorinstanz zugestellt wurde, befindet sich jedoch nicht bei deren Akten und konnte auch mit der Nachinstruktion vom 20. September 2012 nicht ediert werden.</w:t>
      </w:r>
    </w:p>
    <w:p>
      <w:r>
        <w:rPr>
          <w:b/>
        </w:rPr>
        <w:t>E. 8.4</w:t>
      </w:r>
    </w:p>
    <w:p>
      <w:r>
        <w:t>Grundsätzlich obliegt die Beweislast für die Fristwahrung dem Beschwerdeführer (Kieser, ATSG-Kommentar, N. 5 zu Art. 39). Für jedes Sozialversicherungsverfahren sind alle Unterlagen, die massgeblich sein können, vom Versicherungsträger systematisch zu erfassen (Art. 46 ATSG). Zu den von der Aktenführungspflicht erfassten Unterlagen zählen in einem Einsprache- oder Beschwerdeverfahren auch die vollständigen Briefumschläge, die rechtserhebliche Aktenstücke enthalten haben. Diesen kann unter Umständen eine entscheidende Bedeutung zukommen, nicht nur hinsichtlich der Rechtzeitigkeit. Wird bei rechtserheblichen Aktenstücken der Briefumschlag nicht oder nur zum Teil zu den Akten genommen, können möglicherweise wichtige Tatsachen nachträglich nicht mehr bewiesen werden. Dies zeigt gerade der vorliegende Fall, in welchem der Beschwerdeführer geltend macht, er habe die am 9. Oktober 2010 datierte Eingabe noch gleichentags der peruanischen Post übergeben. Es widerspricht dem Grundsatz von Treu und Glauben im Prozess, in Verletzung der aufgrund von Art. 46 ATSG bestehenden Aktenführungspflicht den Briefumschlag nicht zu den Akten zu nehmen und hernach dem Beschwerdeführer entgegenzuhalten, er könne den Beweis für die Rechtzeitigkeit der Postaufgabe nicht erbringen. Daraus folgt, dass der Beschwerdeführer die Nachteile der Beweislosigkeit nicht zu tragen hat (vgl. BGE 124 V 372 E. 3a). In dieser Situation ist auf die Darstellung des Beschwerdeführers abzustellen, wonach die Einsprache am 9. Oktober 2010 eingereicht worden sei (vgl. Kieser, ATSG-Kommentar, N. 6 zu Art. 46 mit Hinweisen).</w:t>
      </w:r>
    </w:p>
    <w:p>
      <w:r>
        <w:rPr>
          <w:b/>
        </w:rPr>
        <w:t>E. 8.5</w:t>
      </w:r>
    </w:p>
    <w:p>
      <w:r>
        <w:t>Zusammenfassend kann festgehalten werden, dass die bis zum 15. Oktober 2010 dauernde Einsprachefrist mit der Eingabe vom 9. Oktober 2010 gewahrt wurde. Die Vorinstanz hätte auf die Einsprache eintreten müssen. Der Nichteintretensentscheid ist somit aufzuheben. Die Sache ist zur Prüfung und Festsetzung der Beiträge für das Jahr 2009 an die Vorinstanz zurückzuweisen.</w:t>
      </w:r>
    </w:p>
    <w:p>
      <w:r>
        <w:rPr>
          <w:b/>
        </w:rPr>
        <w:t>E. 9</w:t>
      </w:r>
    </w:p>
    <w:p>
      <w:r>
        <w:t>Das Verfahren ist kostenlos (Art. 85bis Abs. 2 erster Satz AHVG). 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