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C-946/2017 vom 9. August 2017</w:t>
      </w:r>
    </w:p>
    <w:p>
      <w:r>
        <w:t>Bundesverwaltungsgericht, 2017-08-09, DE</w:t>
      </w:r>
    </w:p>
    <w:p>
      <w:r>
        <w:rPr>
          <w:b/>
        </w:rPr>
        <w:t xml:space="preserve">Quelle: </w:t>
      </w:r>
      <w:r>
        <w:t>https://mcp.opencaselaw.ch/entscheid/bvger_C-946_2017</w:t>
      </w:r>
    </w:p>
    <w:p>
      <w:r>
        <w:t>FR: TAF C-946/2017 du 9 août 2017</w:t>
      </w:r>
    </w:p>
    <w:p>
      <w:r>
        <w:t>IT: TAF C-946/2017 del 9 agosto 2017</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lit. d VGG; vgl. auch Art. 69 Abs. 1 lit. b des Bundesgesetzes vom 19. Juni 1959 über die Invalidenversicherung [IVG, SR 831.20]). Nachdem der Beschwerdeführer im Frühling 2015 nach Österreich umgezogen war (IV-act. 110, S. 6), ist die Zuständigkeit zu Recht auf die IVSTA übergegangen (Art. 40 Abs. 2quater IVV).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sie im Sinne von Art. 59 ATSG beschwerdelegitimiert ist (vgl. auch Art. 48 Abs. 1 VwVG). Da die Beschwerde im Übrigen frist- und formgerecht eingereicht und auch der Kostenvorschuss rechtzeitig geleistet wurde (Art. 60 ATSG; Art. 52 und 63 Abs. 4 VwVG), ist darauf einzutreten.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Verfügung (hier: 12. Januar 2017) eingetretenen Sachverhalt ab. Tatsachen, die jenen Sachverhalt seither verändert haben, sollen im Normalfall Gegenstand einer neuen Verfügung sein (vgl. BGE 132 V 215 E. 3.1.1;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sodass die zur altrechtlichen Regelung ergangene Rechtsprechung weiterhin massgebend ist (vgl. Urteile des BGer 8C_944/2010 vom 21. März 2011 E. 3 sowie 8C_373/2008 vom 28. August 2008 E. 2.1; BGE 135 V 215 E. 7).</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erfüllt unstreitig die Mindestbeitragsdauer für den Anspruch auf eine ordentliche Invalidenrente (vgl. vorne Sachverhalt A).</w:t>
      </w:r>
    </w:p>
    <w:p>
      <w:r>
        <w:rPr>
          <w:b/>
        </w:rPr>
        <w:t>E. 4.2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4.5.3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5.1</w:t>
      </w:r>
    </w:p>
    <w:p>
      <w:r>
        <w:t>Vorliegend hat die Vorinstanz dem Beschwerdeführer vom 1. März bis 31. Dezember 2013 eine befristete ganze Invalidenrente zugesprochen. Die Befristung begründet sie damit, dass die Arbeitsunfähigkeit des Beschwerdeführers ab dem 2. September 2013 in einer dem Gesundheitszustand angepassten Tätigkeit 30 % betrage.</w:t>
      </w:r>
    </w:p>
    <w:p>
      <w:r>
        <w:rPr>
          <w:b/>
        </w:rPr>
        <w:t>E. 5.2</w:t>
      </w:r>
    </w:p>
    <w:p>
      <w:r>
        <w:t>Vernehmlassungsweise beantragt die Vorinstanz die Rückweisung der Sache zur nochmaligen rheumatologischen Begutachtung (act. 3). Dabei stützt sie sich auf die im Rahmen des Beschwerdeverfahrens eingeforderte Stellungnahme vom 12. April 2017 von Dr. G._______, Facharzt für Rheumatologie des ärztlichen Dienstes der IVSTA (act. 3, Beilage 4). Dr. G._______ äusserte sich nach Durchsicht aller medizinischer Akten zusammengefasst dahingehend, dass die Beurteilung des Gutachters E._______ nicht auf einer Besserung des Gesundheitszustandes, sondern auf den im Zeitpunkt der Begutachtung getroffenen objektiven Feststellungen basiere. Die neu eingereichten Dokumente brächten eine Veränderung des Gesundheitszustandes - vor allem die rechte Schulter und das linke Knie betreffend - hervor; insofern bestehe Behandlungsbedarf. Eine neue rheumatologische Begutachtung werde empfohlen.</w:t>
      </w:r>
    </w:p>
    <w:p>
      <w:r>
        <w:rPr>
          <w:b/>
        </w:rPr>
        <w:t>E. 5.3</w:t>
      </w:r>
    </w:p>
    <w:p>
      <w:r>
        <w:t>Die Vorinstanz ging vorliegend hauptsächlich gestützt auf das rheumatologische Gutachten von Dr. med. E._______ vom 4. Februar 2015 und der ergänzenden Stellungnahme von Dr. med. F._______ vom 2. Dezember 2016 davon aus, dass ab 2. September 2013 eine gesundheitliche Besserung eingetreten sei und die Arbeitsfähigkeit des Beschwerdeführers in einer dem Leiden angepassten Tätigkeit mehr als 60 % betrage. Aus den Akten geht hervor, dass die anlässlich des Vorbescheid- und Beschwerdeverfahrens eingereichten medizinischen Berichte eine Verschlechterung des Gesundheitszustandes sowie neue Beschwerden, vor allem im rechten Schulterbereich, aufzeigen. Offensichtlich sind diese Beschwerden vor Erlass der angefochtenen Verfügung weder abgeklärt noch in der Beurteilung berücksichtigt worden. Dennoch stützte sich die Vorinstanz auf die Beurteilung von Dr. med. F._______ vom 2. Dezember 2016 ab und befristete die Invalidenrente auf den 31. Dezember 2013. Demnach liegt der Untersuchungsbefund nicht lückenlos vor.</w:t>
      </w:r>
    </w:p>
    <w:p>
      <w:r>
        <w:rPr>
          <w:b/>
        </w:rPr>
        <w:t>E. 6</w:t>
      </w:r>
    </w:p>
    <w:p>
      <w:r>
        <w:t>Aufgrund der vorstehenden Erwägungen ist zusammenfassend festzuhalten, dass eine zuverlässige Einschätzung, in welchem Mass der Beschwerdeführer ab September 2013 Einschränkungen unterliegt, aufgrund der bestehenden Aktenlage nicht vorgenommen werden kann. Der rechtserhebliche Sachverhalt in medizinischer Hinsicht ist durch die Vorinstanz nicht rechtsgenüglich abgeklärt und gewürdigt worden (Art. 43 ff. ATSG sowie Art. 12 und Art. 49 lit. b VwVG), sodass die Verfügung vom 12. Januar 2017 aufzuheben ist. Gemäss Dr. G._______ stützt sich die Expertise nur auf die objektiven Feststellungen im Zeitpunkt der Untersuchung, hingegen geht der Krankheitsverlauf seit September 2013 nicht vollständig daraus hervor. Er ist demnach ungeklärt geblieben. Ausserdem sind neue Beschwerdebilder bislang nicht abgeklärt worden. Somit ist die Streitsache gemäss dem gemeinsamen Antrag der Vorinstanz und des Beschwerdeführers und gestützt auf Art. 61 Abs. 1 VwVG an die Vorinstanz zurückzuweisen, was bei dieser Sachlage rechtsprechungsgemäss zulässig ist (BGE 137 V 210 E. 4.4.1.4 und Urteil des BGer 8C_633/2014 vom 11. Dezember 2014 E. 3). Die Vorinstanz hat im Rahmen der neu zu erlassenden Verfügung den Sachverhalt sorgfältig abzuklären und ergänzende, auf einer persönlichen Untersuchung des Beschwerdeführers basierende rheumatologische gutachterliche Abklärungen vorzunehmen, welche sich unter Einbezug der medizinischen Vorakten zur Arbeitsfähigkeit des Beschwerdeführers in der bisherigen Tätigkeit und in leidensangepassten Tätigkeiten zu äussern haben. Hiernach hat die Vorinstanz über den Rentenanspruch neu zu verfügen.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Dem obsiegenden Beschwerdeführer sind keine Kosten aufzuerlegen; der von ihm geleistete Kostenvorschuss in der Höhe von Fr. 800.- ist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w:t>
      </w:r>
    </w:p>
    <w:p>
      <w:r>
        <w:rPr>
          <w:b/>
        </w:rPr>
        <w:t>E. 7.3</w:t>
      </w:r>
    </w:p>
    <w:p>
      <w:r>
        <w:t>Die Parteientschädigung umfasst dabei die Kosten der Vertretung sowie allfällige weitere notwendige Auslagen der Partei (Art. 8 VGKE). Das Anwaltshonorar wird nach dem notwendigen Zeitaufwand des Vertreters oder der Vertreterin bemessen (Art. 10 Abs. 1 VGKE), wobei der Stundensatz für Anwälte und Anwältinnen mindestens Fr. 200.- und höchstens Fr. 400.- beträgt (Art. 10 Abs. 2 VGKE). Der Rechtsvertreter macht in seiner Honorarnote einen Aufwand von 6.83 Stunden à Fr. 250.- und Auslagen von Fr. 17.60.- geltend (act. 10). Der geltend gemachte Aufwand erscheint angemessen. Die Vorinstanz hat den Beschwerdeführer demnach mit Fr. 1'725.10 (inkl. Auslagen) zu entschädigen.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