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C-943/2015 vom 23. April 2015</w:t>
      </w:r>
    </w:p>
    <w:p>
      <w:r>
        <w:t>Bundesverwaltungsgericht, 2015-04-23, FR</w:t>
      </w:r>
    </w:p>
    <w:p>
      <w:r>
        <w:rPr>
          <w:b/>
        </w:rPr>
        <w:t xml:space="preserve">Quelle: </w:t>
      </w:r>
      <w:r>
        <w:t>https://mcp.opencaselaw.ch/entscheid/bvger_C-943_2015</w:t>
      </w:r>
    </w:p>
    <w:p>
      <w:r>
        <w:t>FR: TAF C-943/2015 du 23 avril 2015</w:t>
      </w:r>
    </w:p>
    <w:p>
      <w:r>
        <w:t>IT: TAF C-943/2015 del 23 aprile 2015</w:t>
      </w:r>
    </w:p>
    <w:p>
      <w:pPr>
        <w:pStyle w:val="Heading2"/>
      </w:pPr>
      <w:r>
        <w:t>Regeste</w:t>
      </w:r>
    </w:p>
    <w:p>
      <w:r>
        <w:t>Approbation d'une autorisation de séjour (divers)</w:t>
      </w:r>
    </w:p>
    <w:p>
      <w:pPr>
        <w:pStyle w:val="Heading2"/>
      </w:pPr>
      <w:r>
        <w:t>Erwägungen</w:t>
      </w:r>
    </w:p>
    <w:p>
      <w:r>
        <w:rPr>
          <w:b/>
        </w:rPr>
        <w:t>E. 1</w:t>
      </w:r>
    </w:p>
    <w:p>
      <w:r>
        <w:t>La demande de restitution de délai est rejetée.</w:t>
      </w:r>
    </w:p>
    <w:p>
      <w:r>
        <w:rPr>
          <w:b/>
        </w:rPr>
        <w:t>E. 2</w:t>
      </w:r>
    </w:p>
    <w:p>
      <w:r>
        <w:t>Les frais de procédure, s'élevant à 250 francs, sont mis à la charge du requérant. Ce montant doit être versé sur le compte du Tribunal dans les 30 jours qui suivent l'entrée en force du présent arrêt. Le bulletin de versement sera envoyé par courrier séparé.</w:t>
      </w:r>
    </w:p>
    <w:p>
      <w:r>
        <w:rPr>
          <w:b/>
        </w:rPr>
        <w:t>E. 3</w:t>
      </w:r>
    </w:p>
    <w:p>
      <w:r>
        <w:t>Le présent arrêt est adressé : - au requérant (acte judiciaire) - à l'autorité inférieure (Symic ...) La présidente du collège : Le greffier : Marie-Chantal May Canellas Arnaud Verdon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