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C-939/2012 vom 18. September 2013</w:t>
      </w:r>
    </w:p>
    <w:p>
      <w:r>
        <w:t>Bundesverwaltungsgericht, 2013-09-18, DE</w:t>
      </w:r>
    </w:p>
    <w:p>
      <w:r>
        <w:rPr>
          <w:b/>
        </w:rPr>
        <w:t xml:space="preserve">Quelle: </w:t>
      </w:r>
      <w:r>
        <w:t>https://mcp.opencaselaw.ch/entscheid/bvger_C-939_2012</w:t>
      </w:r>
    </w:p>
    <w:p>
      <w:r>
        <w:t>FR: TAF C-939/2012 du 18 septembre 2013</w:t>
      </w:r>
    </w:p>
    <w:p>
      <w:r>
        <w:t>IT: TAF C-939/2012 del 18 settembre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soweit sie das Einreiseverbot betrifft (vgl. Art. 49 ff. VwVG). Seine Begehren im Zusammenhang mit der (vorsorglichen) Erteilung von Einreisevisa sind nicht Gegenstand des vorliegenden Verfahrens, weshalb darauf nicht einzutreten ist, kann doch Streitgegenstand nur sein, was vom Anfechtungsgegenstand erfasst wird. Dazu gehören nicht Entscheidungen über künftige Gesuche, über welche die Vorinstanz in originärer Kompetenz zu befinden hat.</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Der Rechtsvertreter regt in der Rechtsmitteleingabe vom 16. Februar 2012, im Sinne einer Beweisofferte, die Einvernahme der Kindsmutter als Zeugin an. In diesem Zusammenhang gilt es festzuhalten, dass der Behörde grundsätzlich die Pflicht zukommt,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dazu Urteil des Bundesgerichts 1C_427/2008 vom 2. Februar 2009 E. 2.2). Bei nicht anfechtbaren Entscheiden kann der Entscheid über die Beweisanträge im Endurteil erfolgen (Bernhard Waldmann/Jürg Bickel, in: Praxiskommentar VwVG, Waldmann/Weissenberger [Hrsg.], Zürich 2009, Art. 33 N 36).</w:t>
      </w:r>
    </w:p>
    <w:p>
      <w:r>
        <w:rPr>
          <w:b/>
        </w:rPr>
        <w:t>E. 3.2</w:t>
      </w:r>
    </w:p>
    <w:p>
      <w:r>
        <w:t>Der entscheidserhebliche Sachverhalt erschliesst sich, wie nachfolgend zu zeigen sein wird, in hinreichender Weise aus den Akten. Von der beantragten Zeugeneinvernahme kann daher in antizipierter Beweiswürdigung ohne Verletzung des Anspruchs auf rechtliches Gehör abgesehen werden.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Die Kindsmutter reichte denn auch sowohl im vorinstanzlichen Verfahren als auch auf Beschwerdeebene entsprechende Unterstützungsschreiben zu den Akten. Zudem hat sich der Beschwerdeführer zu den relevanten strittigen Fragen wiederholt schriftlich äussern können. Dem Antrag auf Zeugeneinvernahme ist daher nicht stattzugeben.</w:t>
      </w:r>
    </w:p>
    <w:p>
      <w:r>
        <w:rPr>
          <w:b/>
        </w:rPr>
        <w:t>E. 4.1</w:t>
      </w:r>
    </w:p>
    <w:p>
      <w:r>
        <w:t>In formeller Hinsicht rügt der Beschwerdeführer vorab, die Vorinstanz habe seinen Anspruch auf rechtliches Gehör verletzt, indem sie die eingereichten Unterlagen - insbesondere die Eingabe der Kindsmutter vom 17. Januar 2012 - nicht zur Kenntnis genommen habe. Entsprechend sei in der angefochtenen Verfügung nicht hinreichend darauf eingegangen worden.</w:t>
      </w:r>
    </w:p>
    <w:p>
      <w:r>
        <w:rPr>
          <w:b/>
        </w:rPr>
        <w:t>E. 4.2</w:t>
      </w:r>
    </w:p>
    <w:p>
      <w:r>
        <w:t>Der Anspruch auf rechtliches Gehör ist formeller Natur. Seine Ver­letzung führt daher ungeachtet der Erfolgsaussichten der Beschwerde in der Sache selbst zur Aufhebung der angefochtenen Verfügung. Vor­behalten bleiben nach der Rechtsprechung des Bundesgerichts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Sodann ist von einer Rückweisung der Sache zur Gewährung des recht­lichen Gehörs an die Verwaltung im Sinne einer Heilung des Man­gels selbst bei einer schwerwiegenden Verletzung des rechtlichen Ge­hörs dann abzusehen, wenn und soweit die Rückweisung zu einem formalistischem Leerlauf und damit zu unnötigen Verzögerungen füh­ren würde, die mit dem (der Anhörung gleichgestellten) Interesse der betroffenen Partei an einer beförderlichen Beurteilung der Sache nicht zu vereinbaren wäre (BGE 133 I 201 E. 2.2 S. 204 f.; BGE 132 V 387 E. 5.1 S. 390 mit Hinweisen; BVGE 2009/36 E. 7.3 S. 501 f.).</w:t>
      </w:r>
    </w:p>
    <w:p>
      <w:r>
        <w:rPr>
          <w:b/>
        </w:rPr>
        <w:t>E. 4.3</w:t>
      </w:r>
    </w:p>
    <w:p>
      <w:r>
        <w:t>Aus den vorinstanzlichen Akten geht hervor, dass das Amt für Migration des Kantons Luzern am 24. Januar 2012 an die Vorinstanz gelangt ist und diese um Prüfung eines Einreiseverbots ersuchte. Unter den eingereichten Akten befanden sich nicht nur die massgeblichen Verfügungen, Entscheide und Urteile des kantonalen Verfahrens um Verlängerung der Aufenthaltsbewilligung, sondern auch die an die Migrationsbehörde des Kantons Luzern gerichtete Stellungnahme der Kindsmutter vom 17. Januar 2012, womit davon auszugehen ist, dass diese ebenfalls Grundlage für den Entscheid gebildet hat. Die blosse Behauptung des Beschwerdeführers, besagte Stellungnahme sei von der Vorinstanz nicht berücksichtigt bzw. zur Kenntnis genommen worden, vermag diese Vermutung nicht umzustossen.</w:t>
      </w:r>
    </w:p>
    <w:p>
      <w:r>
        <w:rPr>
          <w:b/>
        </w:rPr>
        <w:t>E. 5</w:t>
      </w:r>
    </w:p>
    <w:p>
      <w:r>
        <w:t>Sinngemäss rügt der Beschwerdeführer sodann die Verletzung der Begründungspflicht, weil in der angefochtenen Verfügung nicht eingehend auf die Problematik bezüglich des regelmässigen Kontakts zwischen ihm und seinem in der Schweiz verbleibenden Sohn eingegangen worden sei.</w:t>
      </w:r>
    </w:p>
    <w:p>
      <w:r>
        <w:rPr>
          <w:b/>
        </w:rPr>
        <w:t>E. 5.1</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 Wie bereits oben (E. 4.2) dargelegt, führt eine Verletzung des Gehörsanspruchs grundsätzlich zur Aufhebung der angefochtenen Verfügung und Rückweisung der Sache an die Vorinstanz. Ebenfalls bei der Verletzung der Begründungspflicht kann der Mangel auf Rechtsmittelebene geheilt werden (vgl. Lorenz Kneubühler, a.a.O., Rz. 19 ff. zu Art. 35 mit Hinweisen).</w:t>
      </w:r>
    </w:p>
    <w:p>
      <w:r>
        <w:rPr>
          <w:b/>
        </w:rPr>
        <w:t>E. 5.2</w:t>
      </w:r>
    </w:p>
    <w:p>
      <w:r>
        <w:t>Aus der Begründung der angefochtenen Verfügung geht ohne weiteres hervor, aus welchen Gründen die Vorinstanz ein fünfjähriges Einreiseverbot erliess. Dass die Vorinstanz dabei die Umstände, die aus ihrer Sicht einen Verstoss gegen bzw. eine Gefährdung der öffentlichen Sicherheit und Ordnung darstellen - nämlich die zahlreichen Strafverfügungen, die Fürsorgeabhängigkeit des Beschwerdeführers sowie dessen erhebliche Schuldensituation - lediglich aufzählte, erweist sich als ausreichend, zumal die einzelnen Strafverfügungen bereits in der Verfügung des Amtes für Migration des Kantons Luzern betreffend Verlängerung der Aufenthaltsbewilligung vom 25. Mai 2010 explizit erwähnt wurden und in diesem Entscheid auch die Fürsorgeabhängigkeit und Schuldensituation des Beschwerdeführers eingehend thematisiert wurde. Als aktenwidrig erweist sich der Vorwurf des Rechtsvertreters, die Vorinstanz habe sich nicht mit der Problematik bezüglich des regelmässigen Kontakts zwischen Vater und Sohn befasst, hat das BFM in seiner Verfügung doch den Sohn explizit erwähnt und nicht nur auf die Suspensionsmöglichkeit hingewiesen, sondern auch aufgezeigt, auf welche andere Weise der Kontakt zwischen den Beteiligten gepflegt werden kann (siehe Sachverhalt Bst. D vorstehend). Auf der Grundlage der vorinstanzlichen Begründung war der Beschwerdeführer denn auch durchaus in der Lage, die Verfügung sachgerecht anzufechten. Die erhobene Rüge der Gehörsverletzung erweist sich auch unter diesem Gesichtspunkt als unbegründet.</w:t>
      </w:r>
    </w:p>
    <w:p>
      <w:r>
        <w:rPr>
          <w:b/>
        </w:rPr>
        <w:t>E. 6</w:t>
      </w:r>
    </w:p>
    <w:p>
      <w:r>
        <w:t>Die Vorinstanz hat in der angefochtenen Verfügung die Ausschrei­bung des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SIS-II-Verordnung) - die per 9. April 2013 die in den hier relevanten Punkten gleichlautenden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 11 i.V.m. Art. 52 Abs. 1 SIS-II-Verordnung) - wird ein Einreiseverbot gegen eine Person, die nicht das Bürgerrecht ei­nes Schengen-Staates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7.1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7.2</w:t>
      </w:r>
    </w:p>
    <w:p>
      <w:r>
        <w:t>Das Einreiseverbot ist keine Sanktion für vergangenes Fehlverhalten, sondern eine Massnahme zur Abwendung einer künftigen Störung der öf­fentlichen Sicherheit und Ordnung (vgl. Botschaft zum Bundesgesetz über die Ausländerinnen und Ausländer vom 8. März 2002,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7.3</w:t>
      </w:r>
    </w:p>
    <w:p>
      <w:r>
        <w:t>Die öffentliche Sicherheit und Ordnung im Sinne von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(BBl 2002 3809 u. 3813; vgl. auch Art. 80 Abs. 1 Bst. a und b VZAE sowie Rainer J. Schweizer/Patrick Sutter/Nina Widmer, in: Rainer J. Schweizer [Hrsg.], Si­cherheits- und Ordnungsrecht des Bundes, SBVR Bd. III/1, Basel 2008, Teil B, Rz. 13 mit Hinweisen).</w:t>
      </w:r>
    </w:p>
    <w:p>
      <w:r>
        <w:rPr>
          <w:b/>
        </w:rPr>
        <w:t>E. 8.1</w:t>
      </w:r>
    </w:p>
    <w:p>
      <w:r>
        <w:t>Der Beschwerdeführer ist während seines Aufenthaltes in der Schweiz wiederholt strafrechtlich negativ in Erscheinung getreten. So wurde er vom Amtsstatthalteramt Luzern mit Strafverfügung vom 16. April 1992 wegen verbotenen Besitzes und Tragens einer Schusswaffe in der Öffentlichkeit zu einer Busse von Fr. 400. verurteilt. Mit Strafverfügung der Strafkommission Obwalden vom 24. März 1994 erhielt der Beschwerdeführer wegen einfacher Körperverletzung sowie Freiheitsberaubung eine fünftägige (bedingte) Gefängnisstrafe sowie eine Busse von Fr. 300. . Eine weitere Verurteilung zu einer zehntägigen, wiederum bedingten Haftstrafe, erfolgte mit Strafverfügung des Amtsstatthalteramtes Luzern vom 7. Mai 1997, u.a. wegen Führens eines Personenwagens trotz entzogenem Führerausweis. Aus demselben Grund wurde der Beschwerdeführer am 24. Dezember 1997 von der gleichen Strafbehörde zu einer (unbedingt vollziehbaren) Gefängnisstrafe von zehn Tagen und einer Busse von Fr. 800. verurteilt. Aufgrund desselben Straftatbestandes erhielt er mit Strafbefehl des Verhöramtes Nidwalden vom 24. März 1999 sowie Strafverfügung des Amtsstatthalteramtes Sursee vom 15. September 2003 eine zweiwöchige Haftstrafe und eine Busse von Fr. 1'000. bzw. eine Busse von Fr. 600. . Eine weitere Verurteilung zu einer Geldbusse von Fr. 460. wegen Verstosses gegen das SVG (u.a. Überschreitens der signalisierten Höchstgeschwindigkeit bzw. Führens eines Fahrzeuges mit ausländischem Führerausweis) erfolgte mit Strafverfügung des Amtsstatthalteramtes Luzern vom 24. Februar 2004. Mit Strafverfügung des Amtsstatthalteramtes Hochdorf vom 16. Februar 2006 schliesslich wurde der Beschwerdeführer - wiederum wegen Führens eines Personenwagens trotz Entzug des Führerausweises - zu einer fünftägigen (bedingten) Gefängnisstrafe sowie einer Busse von Fr. 1'000. verurteilt. Auch wenn nicht alle dieser Verurteilungen - einzeln betrachtet - erheblich ins Gewicht fallen, zeigt sich insgesamt an der Regelmässigkeit, mit welcher der Beschwerdeführer über einen sehr langen Zeitraum hinweg delinquiert hat, eine Unbelehrbarkeit bzw. eine offenkundig fehlende Bereitschaft seinerseits, sich an die hierzulande geltende Rechtsordnung zu halten. Aus fremdenpolizeilicher Sicht negativ ins Gewicht fallen insbesondere seine zahlreichen groben Verstösse gegen das SVG. Ungeachtet seiner einschlägigen Vorstrafen wegen Führens eines Personenwagens trotz entzogenem Führerausweis und laufenden Probezeiten liess sich der Beschwerdeführer von weiteren Straftaten nicht abhalten. Aufgrund dessen steht ausser Frage, dass der Beschwerdeführer im Sinne von Art. 67 Abs. 2 Bst. a AuG gegen die öffentliche Sicherheit und Ordnung verstossen und damit einen Fernhaltegrund gesetzt hat. An dieser Einschätzung vermag auch der Umstand nichts zu ändern, dass die begangenen Straftaten bereits längere Zeit zurückliegen, zumal - wie die Aufzählung von Art. 67 AuG zeigt - schon weit geringfügigere Verhaltensweisen ein Einreiseverbot nach sich zu ziehen vermögen (zum Ganzen vgl. BBl 2002 3809 und 3813).</w:t>
      </w:r>
    </w:p>
    <w:p>
      <w:r>
        <w:rPr>
          <w:b/>
        </w:rPr>
        <w:t>E. 8.2</w:t>
      </w:r>
    </w:p>
    <w:p>
      <w:r>
        <w:t>Im Weitern steht fest, dass der Beschwerdeführer seine privatrechtlichen und öffentlich-rechtlichen Verpflichtungen seit Anbeginn seines Aufenthaltes in der Schweiz schlecht erfüllte. So mussten gegen ihn laut Urteil des Verwaltungsgerichts des Kantons Luzern vom 19. Oktober 2011 total 29 Verlustscheine im Gesamtbetrag von knapp Fr. 92'000. ausgestellt werden. Von Januar 2007 bis Februar 2010 fielen zudem 15 Betreibungen im Gesamtwert von über Fr. 26'000. an. Gemäss Auffassung der kantonalen Behörden habe der Beschwerdeführer in den vergangenen Jahren keine Bemühungen - insbesondere hinsichtlich seiner Arbeits-situation - unternommen, an seiner Schuldensituation etwas zu verändern. Auch das Bundesgericht wertet das Nichtbezahlen von Schulden, jedenfalls wenn diese wie in casu einen bedeutenden Umfang erreichen, denn als einen Verstoss gegen die öffentliche Ordnung (BGE 122 II 385 E. 3b S. 390 f.). Durch das Nichterfüllen finanzieller Verpflichtungen diesen Ausmasses ist der Fernhaltegrund von Art. 67 Abs. 2 Bst. a AuG hinreichend erstellt.</w:t>
      </w:r>
    </w:p>
    <w:p>
      <w:r>
        <w:rPr>
          <w:b/>
        </w:rPr>
        <w:t>E. 8.3</w:t>
      </w:r>
    </w:p>
    <w:p>
      <w:r>
        <w:t>Mit den dargelegten strafbaren Handlungen sowie der sich über Jahre hinziehenden Verletzung finanzieller Verpflichtungen hat der Beschwerdeführer, wie erwähnt, Fernhaltegründe nach Art. 67 Abs. 2 Bst. a AuG gesetzt. Die Voraussetzungen für die Verhängung eines Einreiseverbotes nach dieser Bestimmung erweisen sich demnach ohne weiteres als erfüllt.</w:t>
      </w:r>
    </w:p>
    <w:p>
      <w:r>
        <w:rPr>
          <w:b/>
        </w:rPr>
        <w:t>E. 8.4</w:t>
      </w:r>
    </w:p>
    <w:p>
      <w:r>
        <w:t>Die Vorinstanz begründet das verhängte Einreiseverbot weiter mit der Fürsorgeabhängigkeit des Beschwerdeführers. Indem sie diesem vorwirft, während seines Aufenthaltes in der Schweiz Sozialhilfekosten verursacht zu haben, stützt sie sich dabei implizit auf Art. 67 Abs. 2 Bst. b AuG. Die Botschaft führt hierzu aus, ein Einreiseverbot solle insbesondere dann angeordnet werden, wenn die Gefahr beste­he, dass bei einer Wiedereinreise erneut Sozialhilfe- und Rückreise­kosten entstünden (vgl. dazu BBl 2002 3813). Dies spricht da­für, die bisherige, unter Geltung des ANAG entwickelte Praxis zum Fernhalte­grund der sogenannt "vorsorglich armenrechtlichen Gründe" im Rahmen des - in der erwähnten Bestimmung nunmehr kodifizier­ten - Fernhaltegrundes der Verursachung von Sozialhilfekosten weiter­zuführen. Eine Fernhaltemassnahme kann danach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 (vgl. zum Ganzen Urteil des Bundesverwaltungsgerichts C-4941/2008 vom 23. November 2009 E. 6.2 mit weiteren Hinweisen). Aus den vorinstanzlichen Akten ergibt sich diesbezüglich, dass der Beschwerdeführer allein von März 2008 bis März 2010 mit total über Fr. 47'000. wirtschaftlicher Sozialhilfe unterstützt werden musste. Im erwähnten Urteil des Verwaltungsgerichts des Kantons Luzern vom 19. Oktober 2011 wurde zudem festgehalten, der Beschwerdeführer habe seit mehreren Jahren keine ernsthaften Bemühungen zum Erhalt einer Arbeitsstelle unternommen. Es müsse daher von einer erheblichen und dauernden Sozialhilfeabhängigkeit ausgegangen werden. Damit ist in casu auch diese - alternative - Voraussetzung für die Verhängung eines Einreiseverbots als erfüllt zu betrachten.</w:t>
      </w:r>
    </w:p>
    <w:p>
      <w:r>
        <w:rPr>
          <w:b/>
        </w:rPr>
        <w:t>E. 9.1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 Zürich/St. Gallen 2010, Rz. 613 ff).</w:t>
      </w:r>
    </w:p>
    <w:p>
      <w:r>
        <w:rPr>
          <w:b/>
        </w:rPr>
        <w:t>E. 9.2</w:t>
      </w:r>
    </w:p>
    <w:p>
      <w:r>
        <w:t>Wie oben dargelegt, hat der Beschwerdeführer während seines Aufenthaltes in der Schweiz wiederholt und zum Teil nicht unerheblich gegen gesetzliche Vorschriften verstossen. Das generalpräventiv motivierte öffentliche Interesse, die gesetzliche Ordnung durch eine konsequente Massnahmenpraxis gegenüber ausländischen Personen zu schützen, ist gewichtig. Im vorliegenden Fall treten spezialpräventive Gründe hinzu. Diesbezüglich ist insbesondere zu berücksichtigen, dass der Beschwerdeführer über viele Jahre hinweg straffällig geworden ist. Zudem hat er seit Anbeginn seines Aufenthaltes in der Schweiz seine privatrechtlichen und öffentlich-rechtlichen Verpflichtungen nur schlecht erfüllt. Hinzu kommt die erwähnte Fürsorgeabhängigkeit. Sein Verhalten vermittelt allgemein das Bild einer Geringschätzung hiesiger Konventionen und Gesetzesnormen. Sowohl aus general- wie aus spezialpräventiven Überlegungen besteht daher ein erhebliches öffentliches Interesse daran, ihn mit einem Einreiseverbot von der verhängten Dauer zu belegen (vgl. das erwähnte Urteil des Bundesverwaltungsgerichts C-4941/2008 vom 23. November 2009 E. 7.2).</w:t>
      </w:r>
    </w:p>
    <w:p>
      <w:r>
        <w:rPr>
          <w:b/>
        </w:rPr>
        <w:t>E. 9.3</w:t>
      </w:r>
    </w:p>
    <w:p>
      <w:r>
        <w:t>Persönliche Interessen macht der Beschwerdeführer insofern geltend, als er ausführt, zur Pflege der intensiven Beziehung zu seinem minderjährigen Sohn sei er darauf angewiesen, regelmässig in die Schweiz einreisen zu können, zumal die psychisch angeschlagene Kindsmutter auf seine Unterstützung angewiesen sei. Dass das Einreiseverbot mitunter vom BFM in Ausnahmefällen suspendiert werden könne, sei im Hinblick auf die gewünschte, regelmässige Kontaktpflege nicht ausreichend. Der Beschwerdeführer beruft sich damit auf Art. 8 Ziff. 1 der Konvention vom 4. November 1950 zum Schutze der Menschenrechte und Grundfreiheiten (EMRK, SR 0.101.0) und Art. 13 Abs. 1 BV, die beide dem Schutz eines von staatlichen Eingriffen ungestörten Familienlebens dienen und im Ausländerrecht identische Ansprüche vermitteln (BGE 129 ll 215 E. 4.2 S. 218 f.) sowie in allgemeiner Weise auf das Übereinkommen vom 20. November 1989 über die Rechte des Kindes (KRK, SR 0.107).</w:t>
      </w:r>
    </w:p>
    <w:p>
      <w:r>
        <w:rPr>
          <w:b/>
        </w:rPr>
        <w:t>E. 9.4</w:t>
      </w:r>
    </w:p>
    <w:p>
      <w:r>
        <w:t>Zunächst gilt es in diesem Zusammenhang festzuhalten, dass allfällige Einschränkungen des Privat- bzw. Familienlebens des Beschwerdeführers aufgrund sachlicher und funktioneller Unzuständigkeit des Bundesverwaltungsgerichts nicht Verfahrensgegenstand sein können, soweit sie auf das Fehlen eines dauerhaften Aufenthaltsrechts in der Schweiz zurückzuführen sind (vgl. Urteil des Bundesverwaltungsgerichts C 8562/2010 vom 11. Oktober 2012 E. 7.2 mit Hinweis). Die Erteilung und Verlängerung von Aufenthaltsbewilligungen fällt grundsätzlich in die Zuständigkeit der Kantone, wobei im Falle einer Bewilligungserteilung das bestehende Einreiseverbot aufzuheben wäre (vgl. Urteil des Bundesgerichts 2C_793/2008 vom 27. März 2009 E. 3.2 mit Hinweisen). Das Gesuch des Beschwerdeführers um Verlängerung der Aufenthaltsbewilligung ist von den zuständigen kantonalen Behörden rechtskräftig abgewiesen worden (vgl. Sachverhalt Bst. C vorstehend). Die Pflege regelmässiger persönlicher Kontakte mit seinem Sohn scheitert daher bereits an seinem fehlenden Anwesenheitsrecht hierzulande. Somit stellt sich nurmehr die Frage, ob die über die Verweigerung des Aufenthaltsrechts hinausgehende, durch das Einreiseverbot zusätzlich bewirkte Erschwernis vor Art. 8 Ziff. 1 EMRK bzw. Art. 13 Abs. 1 BV standhält.</w:t>
      </w:r>
    </w:p>
    <w:p>
      <w:r>
        <w:rPr>
          <w:b/>
        </w:rPr>
        <w:t>E. 9.5</w:t>
      </w:r>
    </w:p>
    <w:p>
      <w:r>
        <w:t>Aus den vorstehenden Ausführungen geht hervor, dass sich der Beschwerdeführer derzeit ohnehin nur zu Besuchszwecken in der Schweiz aufhalten dürfte. Die Wirkungen des Einreiseverbots bestehen zudem nicht darin, dass dem Beschwerdeführer die Einreise in die Schweiz generell verwehrt wäre, ihm während seiner Geltungsdauer Besuchsaufenthalte bei ihm nahe stehenden Personen in der Schweiz schlichtweg untersagt wären. Es steht ihm vielmehr die Möglichkeit offen - worauf auch die Vorinstanz in ihrer Verfügung bereits hingewiesen hat - aus wichtigen Gründen mittels begründetem Gesuch die zeitweilige Suspension der angeordneten Fernhaltemassnahme zu beantragen (Art. 67 Abs. 5 AuG). Die Suspension wird aber praxisgemäss nur für eine kurze und klar begrenzte Zeit gewährt (vgl. Urteil des Bundesverwaltungsgerichts C 2681/2010 vom 6. Mai 2011 E. 6.3 mit Hinweis). Sodann ist davon auszugehen, dass der Kontakt mit dem Sohn respektive der Kindsmutter während der Dauer des Einreiseverbots auch auf andere Weise - namentlich durch Briefverkehr, Telefonate, mittels moderner Kommunikationsmittel oder durch Reisen des Sohnes in den Aufenthaltsstaat des Beschwerdeführers - gepflegt werden kann. Die durch das Einreiseverbot verursachte Beeinträchtigung in der Lebensführung des Beschwerdeführers erweist sich damit als relativ geringfügig. Selbst wenn von einem unter dem Gesichtspunkt von Art. 13 Abs. 1 BV bzw. Art. 8 EMRK relevanten Eingriff ausgegangen würde, wäre ein solcher unter den konkreten Begebenheiten gestützt auf Art. 8 Ziff. 2 EMRK als gerechtfertigt zu qualifizieren (vgl. das erwähnte Urteil des Bundesverwaltungsgerichts C 4941/2008 vom 23. November 2009 E. 7.3).</w:t>
      </w:r>
    </w:p>
    <w:p>
      <w:r>
        <w:rPr>
          <w:b/>
        </w:rPr>
        <w:t>E. 9.6</w:t>
      </w:r>
    </w:p>
    <w:p>
      <w:r>
        <w:t>Eine wertende Gewichtung der sich entgegenstehenden öffentlichen und privaten Interessen führt zum Ergebnis, dass das auf fünf Jahre befristete Einreiseverbot sowohl vom Grundsatz her als auch in Bezug auf seine Dauer eine verhältnismässige und angemessene Massnahme zum Schutz der öffentlichen Sicherheit und Ordnung darstellt. Das Einreiseverbot ist daher zu bestätigen.</w:t>
      </w:r>
    </w:p>
    <w:p>
      <w:r>
        <w:rPr>
          <w:b/>
        </w:rPr>
        <w:t>E. 10</w:t>
      </w:r>
    </w:p>
    <w:p>
      <w:r>
        <w:t>Aus diesen Erwägungen ergibt sich, dass die angefochtene Verfügung im Ergebnis Bundesrecht nicht verletzt und den rechtserheblichen Sachverhalt richtig und vollständig feststellt; sie ist auch angemessen (vgl. Art. 49 VwVG).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Dem Antrag des Rechtsvertreters, die Verfahrenskosten unbesehen vom Verfahrensausgang der Vorinstanz aufzuerlegen, ist unter Hinweis auf Ziff. 4 und 5 der Erwägungen nicht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