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C-935/2014 vom 17. Juni 2014</w:t>
      </w:r>
    </w:p>
    <w:p>
      <w:r>
        <w:t>Bundesverwaltungsgericht, 2014-06-17, DE</w:t>
      </w:r>
    </w:p>
    <w:p>
      <w:r>
        <w:rPr>
          <w:b/>
        </w:rPr>
        <w:t xml:space="preserve">Quelle: </w:t>
      </w:r>
      <w:r>
        <w:t>https://mcp.opencaselaw.ch/entscheid/bvger_C-935_2014</w:t>
      </w:r>
    </w:p>
    <w:p>
      <w:r>
        <w:t>FR: TAF C-935/2014 du 17 juin 2014</w:t>
      </w:r>
    </w:p>
    <w:p>
      <w:r>
        <w:t>IT: TAF C-935/2014 del 17 giugno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Einreiseverbots eine Verfügung im erwähnten Sinne und daher ein zulässiges Anfechtungsobjekt erlassen hat. Eine Aus­nahme nach Art. 32 VGG liegt nicht vor.</w:t>
      </w:r>
    </w:p>
    <w:p>
      <w:r>
        <w:rPr>
          <w:b/>
        </w:rPr>
        <w:t>E. 1.2</w:t>
      </w:r>
    </w:p>
    <w:p>
      <w:r>
        <w:t>Das Rechtsmittelverfahren vor Bundesverwaltungsgericht richtet sich nach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w:t>
      </w:r>
    </w:p>
    <w:p>
      <w:r>
        <w:rPr>
          <w:b/>
        </w:rPr>
        <w:t>E. 3.3</w:t>
      </w:r>
    </w:p>
    <w:p>
      <w:r>
        <w:t>Einen Verstoss gegen die öffentliche Sicherheit und Ordnung im Sinne von Art. 67 Abs. 2 Bst. a AuG begeht u.a.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3348/2012 vom 20. März 2014 E. 3.3 m.H.).</w:t>
      </w:r>
    </w:p>
    <w:p>
      <w:r>
        <w:rPr>
          <w:b/>
        </w:rPr>
        <w:t>E. 4</w:t>
      </w:r>
    </w:p>
    <w:p>
      <w:r>
        <w:t>Wird gegen eine Person, welche weder die Staatsangehörigkeit eines Mit­gliedstaates der Europäischen Union noch der Europäischen Freihandels­assoziation besitzt, ein Einreiseverbot verhängt, so wird sie nach Massgabe der Bedeutung des Falles im Schengener Informationssys­tem (SIS) zur Einreiseverweigerung ausgeschrieben (vgl. Art. 21 der N-SIS-Verordnung vom 8. März 2013 [SR 362.0] und Art. 24 der Verordnung [EG] Nr. 1987/2006 des Europäischen Parlaments und des Rates vom 20. Dezember 2006 über die Einrichtung, den Betrieb und die Nutzung des Schengener Informationssystems der zweiten Genera­tion [SIS II], ABl. L 381/4 vom 28.12.2006 [nf.: SIS-II-VO]). Damit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[nf.: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5.1</w:t>
      </w:r>
    </w:p>
    <w:p>
      <w:r>
        <w:t>Das BFM stützte das Einreiseverbot allgemein auf Art. 67 AuG. Bei der Ausreisekontrolle sei festgestellt worden, dass sich der Beschwerdefüh­rer ohne entsprechendes Visum oder entsprechen­den Aufenthaltstitel und somit illegal im Schengen-Raum aufgehalten habe. Aus den Akten ergibt sich, dass der Beschwerdeführer mittels Straf­befehl wegen Verletzung der Einreisevorschriften nach Art. 5 AuG verur­teilt wurde (vgl. Sachverhalt Bst. A). Hierbei handelt es sich grundsätzlich um einen Verstoss gegen die öffentliche Sicherheit und Ordnung, der un­ter dem Gesichtspunkt von Art. 67 Abs. 2 Bst. a AuG Anlass für die Verfü­gung einer Fernhaltemassnahme gibt (vgl. Urteil C 3348/2012 E. 4.2).</w:t>
      </w:r>
    </w:p>
    <w:p>
      <w:r>
        <w:rPr>
          <w:b/>
        </w:rPr>
        <w:t>E. 5.2</w:t>
      </w:r>
    </w:p>
    <w:p>
      <w:r>
        <w:t>Der Beschwerdeführer bestreitet, sich illegal im Schengen-Raum auf­gehalten zu haben (vgl. Sachverhalt Bst. C). Bei dem von ihm als Aufenthalts­bewilligung bezeichneten Dokument (vgl. Beschwerdebeilage 5) handelt es sich indes um eine dem Arbeitgeber ausgestellte Bewilli­gung, den Beschwerdeführer für neun Monate zu beschäftigen. Die Bewilli­gung sieht sodann ausdrücklich vor, dass sich der Beschwerdefüh­rer um ein Visum zu bemühen hat, und steht unter dem Vorbe­halt, dass er binnen acht Tagen nach Einreise in Italien den Arbeits­vertrag unterzeich­net. Der Beschwerdeführer reichte weder ein Visum noch ei­nen Ar­beitsvertrag ein (vgl. bereits Zwischenverfügung vom 3. März 2014). Bei dem von ihm als notarielle Bestätigung bezeichneten Doku­ment (vgl. Be­schwerdebeilage 4) handelt es sich weiter um eine nicht notariell beglau­bigte Erklärung des Arbeitgebers, wonach dieser am 19. September 2013 eine Arbeitserlaubnis ("domanda per rilascio nulla osta a lavoro subordi­nato stagionale") - und nicht wie vom Beschwerdefüh­rer behauptet eine Auf­enthaltserlaubnis - beantragt habe. Soweit der Beschwerdeführer schliesslich gegenüber der Kantonspolizei Zürich angab, seine Aufenthalts­erlaubnis ("Permesso di soggiorno") zu Hause vergessen zu ha­ben (vgl. BFM act. 1 S. 8), ist darauf hinzuweisen, dass er diese entge­gen seiner Ankündigung nicht nachreichte (vgl. BFM act. 1 S. 7) und dies - wie dargelegt - auch im vorliegenden Verfahren nicht tat. Im Übrigen bleibt unklar, wann und wo er in den Schengen-Raum einreiste und wes­halb er als kosovarischer Staatsangehöriger über kein Visum ver­fügte.</w:t>
      </w:r>
    </w:p>
    <w:p>
      <w:r>
        <w:rPr>
          <w:b/>
        </w:rPr>
        <w:t>E. 5.3</w:t>
      </w:r>
    </w:p>
    <w:p>
      <w:r>
        <w:t>Es ist zusammenfassend davon auszugehen, dass der Beschwerdeführer sich illegal im Schengen-Raum aufhielt und unter Missachtung der Einreisevoraussetzun­gen nach Art. 5 AuG illegal in die Schweiz einreiste, womit unter dem Gesichts­punkt von Art. 67 Abs. 2 Bst. a AuG die Verhängung eines Einreise­verbots als geboten erscheint.</w:t>
      </w:r>
    </w:p>
    <w:p>
      <w:r>
        <w:rPr>
          <w:b/>
        </w:rPr>
        <w:t>E. 6.1</w:t>
      </w:r>
    </w:p>
    <w:p>
      <w:r>
        <w:t>Damit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Aus der illegalen Anwesenheit des Beschwerdeführers wird auf eine Gefährdung der öffentlichen Sicherheit und Ordnung geschlossen (vgl. E. 3.2 f. und 5.1). An der Einhaltung der Rechtsordnung im Allgemeinen und der Vorschriften über Einreise, Aufenthalt und Erwerbstätigkeit im Be­sonderen besteht ein gewichtiges öffentliches Interesse. Als gewichtig zu betrachten ist dabei einerseits das generalpräventiv motivierte Interesse, die öffentliche Ordnung durch eine konsequente Massnahmepraxis zu schüt­zen. Andererseits liegt eine spezialpräventive Zielsetzung darin, dass sie den Beschwerdeführer ermahnt, bei einer allfälligen künftigen Wie­dereinreise nach Ablauf des Einreiseverbots die für ihn geltenden Re­geln einzuhalten (vgl. Urteil C 3348/2012 E. 5.2 mit Hinweis). Soweit er zudem geltend macht, er sei davon ausgegangen, über einen gültigen Aufenthalts­titel zu verfügen und damit die Einreisevorschriften nicht vorsätz­lich verletzt zu haben, erscheint dies nicht als sonderlich glaub­haft, denn obwohl er angab, seine italienische Aufenthaltserlaubnis zu Hause ver­gessen zu haben, reichte er die besagte Aufenthaltserlaubnis nicht ein. Ob vorsätzliches Handeln vorlag, braucht jedoch nicht abschliessend geklärt zu werden, denn das Verhal­ten des Beschwerdeführers ist zumindest als grob fahrlässig einzustufen, zumal aus den ins Recht gelegten Unterlagen alleine offensichtlich keine gültige Aufenthaltserlaubnis abgeleitet werden kann (vgl. zum Ganzen E. 5.2). Einreisever­bote können sodann bereits bei fahrlässigen Verstössen gegen Ein­reisebestimmungen verfügt werden (vgl. E. 3.3). Eine Reduktion der Ver­botsdauer erscheint daher nicht als ange­zeigt.</w:t>
      </w:r>
    </w:p>
    <w:p>
      <w:r>
        <w:rPr>
          <w:b/>
        </w:rPr>
        <w:t>E. 6.3</w:t>
      </w:r>
    </w:p>
    <w:p>
      <w:r>
        <w:t>An privaten Interessen bringt der Beschwerdeführer lediglich vor, er verfüge in Italien über eine gültige Arbeitserlaubnis. Diese kollidiere mit dem angefochtenen Einreiseverbot, das für das gesamte Gebiet der Schen­gen-Staaten gelte. Zunächst ist darauf hinzuweisen, dass die Schweiz im Bereich des Schengen-Rechts nicht nur die eigenen Interes­sen, sondern die Interessen der Gesamtheit aller Schengen-Staaten zu wah­ren hat (vgl. BVGE 2011/48 E. 6.1). Die Schengen-Staaten können Be­troffenen jedoch aus wichtigen Gründen die Einreise in das eigene Ho­heitsgebiet gestatten bzw. ein Visum mit räumlich beschränkter Gültigkeit ausstellen (vgl. E. 4 in fine). Bezüglich der geltend gemachten Arbeitserlaub­nis ist sodann darauf hinzuweisen, dass die Bewilligung des Arbeitge­bers, den Beschwerdeführer zu beschäftigen, soweit ersichtlich le­diglich auf den 1. November 2013 beantragt wurde (vgl. Beschwerdebei­lage 4). Ob von der Bewilligung tatsächlich Gebrauch ge­macht wurde, bleibt indes offen, zumal der Beschwerdeführer we­der das entsprechende Visum noch den Arbeitsvertrag oder die eigentliche Aufent­haltserlaubnis ein­reichte (vgl. E. 5.2).</w:t>
      </w:r>
    </w:p>
    <w:p>
      <w:r>
        <w:rPr>
          <w:b/>
        </w:rPr>
        <w:t>E. 6.4</w:t>
      </w:r>
    </w:p>
    <w:p>
      <w:r>
        <w:t>Das öffentliche Interesse an der verfügten Fernhaltemassnahme über­wiegt damit das geltend gemachte private Interesse des Be­schwerdeführers. Der Beschwerdeführer vermochte nicht zu belegen, dass er für den Schengen-Raum über eine Aufenthaltsberechtigung oder über ein Visum verfügt. Nach dem Gesagten ist davon auszugehen, dass er illegal in den Schengen-Raum einreiste und sich darin illegal aufhielt. Da­mit sind auch die Voraussetzungen für die Ausschreibung im SIS erfüllt (vgl. Art. 21 i.V.m. Art. 24 SIS-II-VO). Das Einreiseverbot für die Dauer von drei Jahren ist insgesamt verhältnismässig und angemessen.</w:t>
      </w:r>
    </w:p>
    <w:p>
      <w:r>
        <w:rPr>
          <w:b/>
        </w:rPr>
        <w:t>E. 7</w:t>
      </w:r>
    </w:p>
    <w:p>
      <w:r>
        <w:t>Aus diesen Erwägungen ergibt sich, dass die angefochtene Verfügung im Lichte von Art. 49 VwVG nicht zu beanstanden ist. Die Beschwerde ist so­mit abzuweisen.</w:t>
      </w:r>
    </w:p>
    <w:p>
      <w:r>
        <w:rPr>
          <w:b/>
        </w:rPr>
        <w:t>E. 8</w:t>
      </w:r>
    </w:p>
    <w:p>
      <w:r>
        <w:t>Bei diesem Ausgang des Verfahrens sind die Kosten dem Beschwerdeführer aufzuerlegen (Art. 63 Abs. 1 VwVG i.V.m. Art. 1 ff. des Reglements über die Kosten und Entschädigungen vor dem Bundesverwaltungsgericht vom 21. Februar 2008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