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C-934/2009 vom 2. September 2010</w:t>
      </w:r>
    </w:p>
    <w:p>
      <w:r>
        <w:t>Bundesverwaltungsgericht, 2010-09-02, FR</w:t>
      </w:r>
    </w:p>
    <w:p>
      <w:r>
        <w:rPr>
          <w:b/>
        </w:rPr>
        <w:t xml:space="preserve">Quelle: </w:t>
      </w:r>
      <w:r>
        <w:t>https://mcp.opencaselaw.ch/entscheid/bvger_C-934_2009</w:t>
      </w:r>
    </w:p>
    <w:p>
      <w:r>
        <w:t>FR: TAF C-934/2009 du 2 septembre 2010</w:t>
      </w:r>
    </w:p>
    <w:p>
      <w:r>
        <w:t>IT: TAF C-934/2009 del 2 settembre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l'avance de frais fournie dans le délai, il est entré en matière sur le fond du recours.</w:t>
      </w:r>
    </w:p>
    <w:p>
      <w:r>
        <w:rPr>
          <w:b/>
        </w:rPr>
        <w:t>E. 3</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Le recourant a présenté sa demande de rente le 31 octobre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31 octobre 2006 (12 mois avant le dépôt de la demande) ou si le droit à une rente était né entre cette date et le 18 décembre 2008,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À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de toute façon, pendant plus de trois années au total (cf. pce 34 du dossier AI) et remplit, partant, la condition de la durée minimale de cotisations. Il reste dès lors à examiner s'il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Le recourant a travaillé en Suisse surtout dans le secteur des machines (caisse de compensation 43). De retour dans son pays d'origine, il a exercé une activité dans l'extraction de la pierre en qualité d'ouvrier chargé du polissage avec machine et de l'entretien de celle-ci. Il a travaillé jusqu'au 20 septembre 2006, date à laquelle il a cessé toute activité suite à maladie de contact (cfr. pce 10, 11).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le recourant souffre essentiellement d'un eczéma de contact. Cet eczéma touche surtout les mains, les pieds, une partie des jambes et des avant-bras. Aucune autre maladie n'est annoncée.</w:t>
      </w:r>
    </w:p>
    <w:p>
      <w:r>
        <w:rPr>
          <w:b/>
        </w:rPr>
        <w:t>E. 10</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11.1</w:t>
      </w:r>
    </w:p>
    <w:p>
      <w:r>
        <w:t>En l'occurrence, l'OAIE, se fondant essentiellement sur l'appréciation médicale du Dr Ribordy, a considéré que la pathologie de l'intéressé se résume à l'eczéma de contact. Le médecin de la sécurité sociale portugaise n'a pas formulé d'autre pathologie. En raison de cette unique problématique le recourant n'est plus apte à reprendre l'activité de ouvrier dans le secteur de l'extraction de la pierre, en particulier celle de chargé du polissage du marbre avec des machines et l'entretien de celles-ci. Cette pathologie allergologique se limite à la peau, sous forme d'eczéma. L'intéressé ne présente donc pas de formes allergiques aux poumons, alimentaires, ophtalmologiques ou autres. Ses conditions générales de santé sont bonnes. Il ne s'agit pas, dans le cas d'espèce, d'une invalidité générale pour cause de maladie ou accident, mais d'une incapacité de travail due à une allergie à différents produits (allergènes) qui sont présents dans certaines activités. Ces problèmes d'allergie étant au demeurant limités à la peau. Un autre travail qui ne présente pas ces inconvénients serait donc exigible.</w:t>
      </w:r>
    </w:p>
    <w:p>
      <w:r>
        <w:rPr>
          <w:b/>
        </w:rPr>
        <w:t>E. 11.2</w:t>
      </w:r>
    </w:p>
    <w:p>
      <w:r>
        <w:t>Le Tribunal de céans, de l'avis des médecins consultés par l'OAIE, retient que le recourant pourrait exercer à temps complet un autre travail plus adapté et surtout exempt de poussière et tout autre allergène, à l'exemple d'une activité de surveillant de parking ou de musée, caissier, vendeur de billets, standardiste ou téléphoniste, dans la vente par correspondance, la réparation de petits appareils ou articles domestiques, la distribution du courrier interne, voire la saisie de données et le scannage. Eu égard à ce qui précède, l'autorité de céans, à l'instar de l'autorité inférieure, fait sienne les appréciations médicales du Dr Ribordy. Le Tribunal administratif fédéral considère ainsi que, d'un point de vue physique, le recourant conserve une capacité de travail résiduelle de 100% dans des activités de substitution.</w:t>
      </w:r>
    </w:p>
    <w:p>
      <w:r>
        <w:rPr>
          <w:b/>
        </w:rPr>
        <w:t>E. 11.3</w:t>
      </w:r>
    </w:p>
    <w:p>
      <w:r>
        <w:t>On observera, enfin, que les preuves figurant au dossier, constituées essentiellement de pièces médicales, permettent à l'autorité de céans de se convaincre que l'état de fait est établi de manière satisfaisante, au degré de la vraisemblance prépondérante, sans qu'il soit nécessaire de procéder à une expertise complémentaire. En effet, on est en présence d'un diagnostic incontesté.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12.4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En l'espèce, il sied de relever que le revenu de l'assuré sans invalidité doit être calculé, exceptionnellement, sur la base des statistiques suisses du fait que les données fournies par le dernier employeur sont manifestement insuffisantes et les statistiques portugaises en matière de revenus ne sont connues ni par la Cour de céans, ni par l'administration. Cela a pour conséquence, afin de se tenir sur le même marché du travail, qu'on considérera le statistiques suisses aussi pour le revenu après l'invalidité. En l'espèce, en Suisse, en 2006, année de référence, le salaire mensuel moyen d'un salarié dans le secteur de l'extraction de pierres était de Fr. 5'038,00; cette rétribution étant calculée, statistiquement, sur 40 heures hebdomadaires, il faut la reporter sur 41,7 heures de sa catégorie, soit Fr. 5'252,12.</w:t>
      </w:r>
    </w:p>
    <w:p>
      <w:r>
        <w:rPr>
          <w:b/>
        </w:rPr>
        <w:t>E. 13.2</w:t>
      </w:r>
    </w:p>
    <w:p>
      <w:r>
        <w:t>Le revenu d'invalide tiré des données statistiques doit tenir compte d'un large éventail d'activités légères existant sur le marché du travail. Un nombre suffisant d'entre elles peut être exercé sans éléments allergènes (cf. consid. 11.2), de sorte que ces activités sont adaptées au handicap du recourant. De plus, la majeure partie de ces postes ne nécessite pas de formation particulière autre qu'une mise à jour au courant initiale. Selon les données statistiques publiées par l'Office fédéral compétent le salaire après invalidité se monte à Fr.4'499,25, données 2006, pour des activités de substitution simples et légères du secteur privé en général. À cet égard, il convient de préciser qu'il s'agit des données tirées du Tableau TA1 (hommes, niveau de qualification 4), qui sont déterminantes en l'espèce selon la jurisprudence du Tribunal fédéral (cf. RSAS 2007 p. 64). Ce chiffre est adapté à la durée de travail hebdomadaire de 41.7 heures (cf. La Vie économique, tableau B 9.2) - au lieu de 40 heures sur lesquelles sont calculées les données statistiques -. On obtient ainsi un résultat de Fr. 4'690,47 à 100%. La réduction des salaires ressortant des statistiques (abattement) relève en premier lieu de l'OAIE, qui dispose pour cela d'un large pouvoir d'appréciation. Le juge des assurances sociales ne peut, sans motif pertinent, substituer son appréciation à celle de l'administration (ATF 126 V 75 consid. 3b/aa et bb). En l'espèce, compte tenu de l'âge et du handicap du recourant, l'abattement de 15% appliqué par l'autorité inférieure apparaît justifié. Il s'ensuit que le revenu annuel théorique pour des activités adaptées, à 100%, de Fr. 4'690,47, abaissé de 15%, soit Fr. 3'986,90, fonde une perte de gain de 24%, taux insuffisant pour avoir droit à une rente de l'assurance-invalidité suisse.</w:t>
      </w:r>
    </w:p>
    <w:p>
      <w:r>
        <w:rPr>
          <w:b/>
        </w:rPr>
        <w:t>E. 14</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voie de conséquence, le recours du 12 février 2009 doit être rejeté et la décision du 18 décembre 2008 confirmée.</w:t>
      </w:r>
    </w:p>
    <w:p>
      <w:r>
        <w:rPr>
          <w:b/>
        </w:rPr>
        <w:t>E. 15.1</w:t>
      </w:r>
    </w:p>
    <w:p>
      <w:r>
        <w:t>Vu l'issue de la procédure, les frais de celle-ci, fixés à Fr. 300.-, sont mis à la charge du recourant (art. 63 al. 1 PA, applicable par le truchement de l'art. 37 LTAF). Ils sont compensés par l'avance de frais dont il s'est acquitté au cours de l'instruction. Le solde de Fr 10.- est restitué au recourant.</w:t>
      </w:r>
    </w:p>
    <w:p>
      <w:r>
        <w:rPr>
          <w:b/>
        </w:rPr>
        <w:t>E. 15.2</w:t>
      </w:r>
    </w:p>
    <w:p>
      <w:r>
        <w:t>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