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C-931/2009 vom 27. Januar 2012</w:t>
      </w:r>
    </w:p>
    <w:p>
      <w:r>
        <w:t>Bundesverwaltungsgericht, 2012-01-27, DE</w:t>
      </w:r>
    </w:p>
    <w:p>
      <w:r>
        <w:rPr>
          <w:b/>
        </w:rPr>
        <w:t xml:space="preserve">Quelle: </w:t>
      </w:r>
      <w:r>
        <w:t>https://mcp.opencaselaw.ch/entscheid/bvger_C-931_2009</w:t>
      </w:r>
    </w:p>
    <w:p>
      <w:r>
        <w:t>FR: TAF C-931/2009 du 27 janvier 2012</w:t>
      </w:r>
    </w:p>
    <w:p>
      <w:r>
        <w:t>IT: TAF C-931/2009 del 27 gennaio 2012</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Der Beschwerdeführer ist als Adressat der angefochtenen Verfügung zur Beschwerde legitimiert (Art. 48 Abs. 1 VwVG). Auf seine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Bundesverwaltungsgerichts C-7265/2007 vom 24. März 2010 E. 3).</w:t>
      </w:r>
    </w:p>
    <w:p>
      <w:r>
        <w:rPr>
          <w:b/>
        </w:rPr>
        <w:t>E. 3.2</w:t>
      </w:r>
    </w:p>
    <w:p>
      <w:r>
        <w:t>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3.3</w:t>
      </w:r>
    </w:p>
    <w:p>
      <w:r>
        <w:t>Das BFM ist umfassend für die Prüfung der Voraussetzungen nach Art. 14 Abs. 2 AsylG zuständig. Eine umfassende, originäre Sachentscheidskompetenz der Vorinstanz gilt übrigens auch für das ausländerrechtliche Zustimmungsverfahren gemäss Art. 40 Abs. 1 des Ausländergesetzes vom 16. Dezember 2005 (AuG, SR 142.20) i.V.m. Art. 99 AuG (zum alten, aber gleich ausgestalteten Recht: BGE 127 II 49 E. 3a S. 51 f. und BGE 120 Ib 6 E. 3a S. 9 f.). Vorliegend ist es somit an der Vorinstanz zu beurteilen, ob die Voraussetzungen gemäss Art. 14 Abs. 2 Bst. a - c AsylG erfüllt sind. Dass die dafür notwendigen Sachverhaltsabklärungen in der Regel von den antragstellenden Kantonen durchgeführt werden, vermag daran nichts zu ändern (siehe Urteil des Bundesverwaltungsgerichts C-1591/2010 vom 31. Oktober 2011 E. 3.3 mit Hinweis). Weder das BFM noch das Bundesverwaltungsgericht sind mithin an die Einschätzung der kantonalen Behörde gebunden (zum Ganzen vgl. auch E. 4.1 - 5.3 hiernach).</w:t>
      </w:r>
    </w:p>
    <w:p>
      <w:r>
        <w:rPr>
          <w:b/>
        </w:rPr>
        <w:t>E. 4.1</w:t>
      </w:r>
    </w:p>
    <w:p>
      <w:r>
        <w:t>Der Beschwerdeführer hält sich seit der Einreichung des Asylgesuches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Wiederruf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nicht.</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6.1</w:t>
      </w:r>
    </w:p>
    <w:p>
      <w:r>
        <w:t>Nach Ablauf der Ausreisefrist am 15. Mai 1994 war der Aufenthalt des Beschwerdeführers rechtswidrig. Die illegale Anwesenheit dauerte - mit Ausnahme der Dauer des Verfahrens auf Anordnung einer vorläufigen Aufnahme vom 15. Oktober 2001 bis zum 18. Dezember 2001 - bis zum Beginn des vorliegenden Verfahrens am 3. Juni 2008 und damit rund 14 Jahre. Aus der mittlerweile 18 Jahre und 6 Monate dauernden Anwesenheit (wovon lediglich rund viereinhalb Jahre rechtmässig in der Schweiz verbracht wurden) kann er, wie nachfolgend aufzuzeigen ist, somit nichts zu seinen Gunsten ableiten.</w:t>
      </w:r>
    </w:p>
    <w:p>
      <w:r>
        <w:rPr>
          <w:b/>
        </w:rPr>
        <w:t>E. 6.2</w:t>
      </w:r>
    </w:p>
    <w:p>
      <w:r>
        <w:t>Der Beschwerdeführer hält sich mit über 18 Jahren vergleichsweise lange in der Schweiz auf. Ausschlaggebende Bedeutung kommt diesem Element jedoch nicht zu. Wohl hat das Bundesgericht in einem Urteil aus dem Jahr 1998 entschieden, dass bei einer ausländischen Person, die sich seit zehn Jahren in der Schweiz aufhält, in der Regel vom Vorliegen eines schwerwiegenden persönlichen Härtefalles auszugehen ist, sofern sie finanziell unabhängig, sozial und beruflich gut integriert ist und sich bis dahin klaglos verhalten hat, vorausgesetzt, dass sie die Dauer des Aufenthaltes nicht absichtlich durch das missbräuchliche Ergreifen von Rechtsmitteln verlängert hat. Allerdings bezieht sich diese Rechtsprechung auf Asylbewerber, über deren Asylgesuch nach zehn Jahren immer noch nicht befunden wurde (vgl. BGE 124 II 110 E. 3 S. 112 f.). Damit wird der besonderen Situation dieser Personenkategorie Rechnung getragen, die von Verfahrens wegen gezwungen ist, den Kontakt zum Herkunftsland abzubrechen (BGE 123 II 125 E. 3 S. 128; Urteil des Bundesgerichts 2A.542/2005 vom 11. November 2005 E. 3.2.1). Der Beschwerdeführer befindet sich in einer anderen Situation. Das Asylverfahren wurde bereits nach acht Monaten am 14. April 1994 rechtskräftig entschieden, worauf er eine Frist zur Ausreise aus der Schweiz erhielt. Sein Aufenthalt über die Ausreisefrist hinaus gründet sich ausschliesslich auf seine Weigerung zur Preisgabe von Identität und Nationalität sowie auf die damit verbundene Folge, der Duldung durch den Wohnkanton. Weder war der Beschwerdeführer in dieser Zeit gezwungen, den Kontakt zu seiner Heimat abgebrochen zu halten, noch durfte er davon ausgehen - auch wenn ihm die kantonale Behörde nachträglich versicherte, ihn nicht wegzuweisen - sein Aufenthalt werde durch das absichtliche und gezielte Hinauszögern der Preisgabe seiner wahren Identität definitiv geregelt. Es stellt sich die Frage, wie die sonstigen Umstände seines Aufenthalts und Verhaltens zu würdigen sind bzw. ob sich für ihn allenfalls daraus eine schwerwiegende Notlage ergibt.</w:t>
      </w:r>
    </w:p>
    <w:p>
      <w:r>
        <w:rPr>
          <w:b/>
        </w:rPr>
        <w:t>E. 6.3</w:t>
      </w:r>
    </w:p>
    <w:p>
      <w:r>
        <w:t>In Bezug auf die Beachtung der Rechtsordnung ist festzustellen, dass der Beschwerdeführer strafrechtlich nicht negativ in Erscheinung getreten ist. Gleichwohl kann sein Leumund aufgrund seines Verhaltens im Asylverfahren sowie während der nachfolgenden 14 Jahre nicht als makellos bezeichnet werden. Diesbezüglich ist - wie bereits festgestellt - auszuführen, dass der Beschwerdeführer bei Einreichung seines Asylgesuchs eine falsche Identität angab und vorgab, keine Reisepapiere oder andere die Identität oder Nationalität belegenden Unterlagen zu besitzen. Erst nachdem sich der Kanton bereit erklärt hatte, dem Bund die Erteilung einer Aufenthaltsbewilligung gemäss Art. 14 Abs. 2 AsylG zu beantragen, gab er den Behörden - nachdem diese ihm versichert hatten, dass er nicht mehr weggewiesen werde - seine wahre Identität und Nationalität preis und reichte seinen abgelaufenen jordanischen Reisepass, seine Geburtsurkunde sowie Ausbildungsunterlagen ein. Dies stellt grundsätzlich einen strafrechtlich relevanten Verstoss das (vgl. Art. 118 Abs. 1 AuG). Die jahrelange Täuschung von kantonalen und eidgenössischen Behörden ist als fehlende Respektierung der Rechtsordnung zu qualifizieren, was bei der vorliegenden Prüfung massgeblich ins Gewicht fällt. Wie schon die frühere Regelung soll auch die heutige Härtefallregelung nach Art. 14 Abs. 2 AsylG nur für Personen in Betracht fallen, die nach Abweisung ihres Asylgesuchs aus nicht selbst verschuldeten oder nicht selbst zu verantwortenden Gründen in der Schweiz geblieben sind (vgl. Urteil des Bundesverwaltungsgerichts C-5438/2010 vom 4. November 2011 E. 6.1 mit Hinweisen). Eine solche Situation ist vorliegend nicht gegeben. Es genügt nicht, dass der Beschwerdeführer Identität und Nationalität erst im vorliegenden Verfahren offengelegt hat, vielmehr war sein vorheriges Verhalten rechtsmissbräuchlich.</w:t>
      </w:r>
    </w:p>
    <w:p>
      <w:r>
        <w:rPr>
          <w:b/>
        </w:rPr>
        <w:t>E. 6.4</w:t>
      </w:r>
    </w:p>
    <w:p>
      <w:r>
        <w:t>Was die persönliche und soziale Integration anbelangt, geht aus den Akten hervor, dass der Beschwerdeführer die deutsche sowie die schweizerdeutsche Sprache gut beherrscht. Er betont, dass soziale Verankerung nicht zwingend eine Familie und Kinder voraussetze, sondern sich auch durch Freundschaften ausdrücken könne. Diesbezüglich reichte er das Empfehlungsschreiben eines bekannten Schriftstellers ein. In diesem wird er als Einzelgänger beschrieben, welcher in seiner Umgebung gut integriert sei. Inwiefern eine von Dritten als Einzelgänger bezeichnete Person sozial überdurchschnittlich gut integriert sein kann, ist jedoch fraglich. Entsprechend kann der Beschwerdeführer weder darlegen, dass er sich um Integration bemüht hat noch, dass er über Bekanntschaften und damit über ein soziales Netz verfügt. Die soziale Anpassung, die sich üblicherweise infolge der langen Anwesenheitsdauer in der Schweiz ergibt, ist in casu bestenfalls durchschnittlich. Entsprechend liegen keine weiteren Empfehlungsschreiben oder anderweitige Angaben vor, welche eine soziale Integration belegen könnten. Die vage, nicht näher ausgeführte oder mit Beweismitteln untermauerte Behauptung genügt für sich alleine nicht. Überdies enthalten die Akten keine Belege für Bemühungen wie Kursbesuche, Vereinsmitgliedschaften, Aufgaben innerhalb der Wohngemeinde oder sonstige Aktivitäten, welche die behauptete Verwurzelung nachweisbar darlegen könnten.</w:t>
      </w:r>
    </w:p>
    <w:p>
      <w:r>
        <w:rPr>
          <w:b/>
        </w:rPr>
        <w:t>E. 6.5</w:t>
      </w:r>
    </w:p>
    <w:p>
      <w:r>
        <w:t>In Bezug auf die wirtschaftliche Integration ist dem Beschwerdeführer zu Gute zu halten, dass er nach Bewilligung einer Arbeitstätigkeit ab Februar 2007 eine Stelle angetreten hat und finanziell unabhängig wurde. Zuvor hatte er jedoch weder an Beschäftigungsprogrammen oder sozialen Projekten teilgenommen noch Kurse besucht oder auf andere Weise seinen Willen zur Teilhabe am Wirtschaftsleben unter Beweis gestellt. Vielmehr beklagt er diesbezüglich lediglich, dass private Weiterbildungen zu teuer seien. Um die bestehenden alternativen Bildungsprogramme hat er sich indessen nicht bemüht. Vor dem Hintergrund, dass er während der 14 Jahre vor Arbeitsantritt im Februar 2007 überhaupt keine Bemühungen zur wirtschaftlichen Integration nachweisen kann, er indessen während dieser Zeit massive Sozialkosten verursacht hat, liegt nicht ansatzweise eine wirtschaftliche Integration vor. Seit Mai 2011 ist der Beschwerdeführer erneut arbeitslos, zu 100% krankgeschrieben und damit wohl nicht mehr in der Lage, seinen finanziellen Verpflichtungen nachzukommen. Trotz Bemühungen in neuerer Zeit, tritt hervor, dass seine Absichten stets primär auf die Bewilligung zur Aufenthaltsregelung abzielten. Entsprechend wurde ihm die Antragstellung nach einem Jahr Erwerbstätigkeit, durch den Kanton in Aussicht gestellt. Der Wille zur Teilhabe am Wirtschaftsleben erscheint - wenn überhaupt vorhanden - stets als zweitrangig.</w:t>
      </w:r>
    </w:p>
    <w:p>
      <w:r>
        <w:rPr>
          <w:b/>
        </w:rPr>
        <w:t>E. 6.6</w:t>
      </w:r>
    </w:p>
    <w:p>
      <w:r>
        <w:t>Der Beschwerdeführer ist im Alter von 28 Jahren in die Schweiz gelangt. Er hat somit den grössten Teil seines bisherigen Lebens in seiner Heimat verbracht, darunter die prägenden Phasen als Jugendlicher und junger Erwachsener. Er verfügt dort über ein familiäres Beziehungsnetz und es kann im Sinne einer Erfahrungstatsache davon ausgegangen werden, dass er über den familiären Kreis hinaus mannigfaltige soziale Kontakte unterhält, auf die er notfalls zurückgreifen kann. Soweit ist nichts ersichtlich, was einer Wiedereingliederung in seine angestammte Umgebung unüberwindbare Hindernisse entgegenstellen würde. Dass der Beschwerdeführer in seiner Heimat infolge des Kontaktabbruchs auf familiäre Schwierigkeiten treffen könnte, mag die Wiedereingliederung zwar erschweren, ernsthaft in Frage gestellt wird sie dadurch aber nicht. Aufgrund seiner eher überdurchschnittlichen Schulbildung (Gymnasium), der in der Schweiz erworbenen Berufserfahrung und Sprachkenntnisse sowie des bestehenden familiären und sozialen Rückhaltes ist davon auszugehen, dass es dem Beschwerdeführer möglich sein wird, sich in seiner Heimat wieder einzugliedern.</w:t>
      </w:r>
    </w:p>
    <w:p>
      <w:r>
        <w:rPr>
          <w:b/>
        </w:rPr>
        <w:t>E. 6.7.1</w:t>
      </w:r>
    </w:p>
    <w:p>
      <w:r>
        <w:t>Schliesslich ist auf die gesundheitliche Situation des Beschwerdeführers einzugehen. Seit April 2008 wird er wegen mittelschwerer Depressionen und psychosomatischen Beschwerden psychotherapeutisch und pharmakologisch behandelt. Krankheitsauslösende sowie krankheitsfördernde Faktoren seien die familiäre Entwurzelung, die Vereinsamung sowie der unsichere Aufenthaltsstatus (ärztliches Zeugnis vom 17. Januar 2011). Weiter leide er unter Nacken- und Armschmerzen rechts aufgrund degenerativer Veränderungen der Halswirbelsäule. Seit August 2011 besteht zusätzlich eine Lähmung der Hand und einzelner Finger, was einen operativen Eingriff erforderlich machte. Es besteht derzeit eine 100% Arbeitsunfähigkeit (ärztliches Zeugnis vom 14. Oktober 2011). Krankgeschrieben ist er bereits seit Mai 2011.</w:t>
      </w:r>
    </w:p>
    <w:p>
      <w:r>
        <w:rPr>
          <w:b/>
        </w:rPr>
        <w:t>E. 6.7.2</w:t>
      </w:r>
    </w:p>
    <w:p>
      <w:r>
        <w:t>Der Gesundheitszustand stellt ein Kriterium dar, das in Verbindung mit anderen Elementen grundsätzlich zur Anerkennung eines schwerwiegenden persönlichen Härtefalls nach Art. 14 Abs. 2 AsylG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Bundesgerichts 2C_316/2011 vom 17. Oktober 2011 E. 3.3 und 2C_216/2009 vom 20. August 2009 E. 4.2). Dass gesundheitliche Gründe nicht für sich allein, sondern nur im Zusammenwirken mit anderen Elementen einen schwerwiegenden persönlichen Härtefall im Sinne von Art. 14 Abs. 2 AsylG begründen können, ergibt sich einerseits aus dem Wortlaut dieser Bestimmung und andererseits aus der Tatsache, dass solche Gründe in erster Linie ein Vollzugshindernis nach Art. 83 Abs. 4 AuG darstellen. Eine Person, die lediglich gesundheitliche Gründe vorbringen kann, unterscheidet sich nicht wesentlich von zahllosen in ihrer Heimat verbliebenen Landsleuten, die an denselben Beschwerden leiden, ohne dass sie deswegen eine ausländerrechtlich privilegierte Behandlung beanspruchen könnten (Urteil des Bundesgerichts 2A.214/2002 vom 23. August 2002 E. 3.4).</w:t>
      </w:r>
    </w:p>
    <w:p>
      <w:r>
        <w:rPr>
          <w:b/>
        </w:rPr>
        <w:t>E. 6.7.3</w:t>
      </w:r>
    </w:p>
    <w:p>
      <w:r>
        <w:t>Die beim Beschwerdeführer festgestellten mittelschweren Depressionen und psychosomatischen Beschwerden stehen grösstenteils im Zusammenhang mit der drohenden Rückführung in seine Heimat. Psychische Störungen und daraus resultierende Beeinträchtigungen, welche ihre Ursache nicht in den Verhältnissen des Ziellandes sondern im Vorgang des Wegweisungsvollzugs als solchem haben, vermögen Letzteren grundsätzlich nicht in Frage zu stellen (vgl. Urteil des Bundesverwaltungsgerichts C-4655/2009 vom 5. Oktober 2011 E. 7.8.3 mit Hinweis). Als weitere Ursachen werden die familiäre Entwurzelung sowie die Vereinsamung genannt. Nach dem Zeugnis von Dr. med. Ralf Lechenmayr vom 14. Oktober 2011 leidet der Beschwerdeführer seit April 2008 an einer mittelschweren Depression mit psychosomatischen Beschwerden. Der Gesundheitszustand ist seit der Diagnose im April 2008 offensichtlich stabil geblieben. Es erscheint daher unwahrscheinlich, dass sich sein psychischer Zustand bei der Rückkehr als zusätzliche Belastung auswirken könnte. Insbesondere kann solchen Umständen gegebenenfalls durch entsprechende Ausgestaltung der Vollzugsmodalitäten - wie beispielsweise einer adäquaten medizinischen Betreuung im Rahmen der Rückführung - Rechnung getragen werden. Die medizinische Versorgung mit Psychopharmaka ist sodann in Jordanien gewährleistet.</w:t>
      </w:r>
    </w:p>
    <w:p>
      <w:r>
        <w:rPr>
          <w:b/>
        </w:rPr>
        <w:t>E. 6.7.4</w:t>
      </w:r>
    </w:p>
    <w:p>
      <w:r>
        <w:t>Körperlich leidet der Beschwerdeführer an Nacken und Armschmerzen rechts, infolge degenerativer Veränderungen der Halswirbelsäule sowie an Lähmungen der linken Hand und einzelner Finger. Degenerative Veränderungen (sog. Abnutzungserscheinungen) stellen eine natürliche Folge des Älterwerdens dar, welche vorliegend erfolgreich mit Schmerzmitteln behandelt werden. Die Lähmung wurde mittels operativer Therapie behoben, am 14. November 2011 erfolgte der Eingriff. Inzwischen dürfte auch die medizinische Nachbetreuung (gemäss Aktennotiz der kantonalen Migrationsbehörde vom 15. November 2011 bestand eine Schienentragepflicht von lediglich zwei Wochen) abgeschlossen sein. Insgesamt lassen die gesundheitlichen Indikationen eine Wiedereingliederung in der Heimat nicht als besondere Härte erscheinen.</w:t>
      </w:r>
    </w:p>
    <w:p>
      <w:r>
        <w:rPr>
          <w:b/>
        </w:rPr>
        <w:t>E. 6.8</w:t>
      </w:r>
    </w:p>
    <w:p>
      <w:r>
        <w:t>Schliesslich beklagt die Rechtsvertreterin eine Ungleichbehandlung, wenn Personen, die ihre Identität erst bei Einreichung des Gesuchs um Härtefallbewilligung offenlegten eine Sonderbehandlung erhielten. Die rechtsanwendenden Behörden sind gestützt auf Art. 8 Abs. 1 der Bundesverfassung der Schweizerischen Eidgenossenschaft vom 18. April 1999 (BV, SR 101) gehalten, gleiche Sachverhalte mit gleichen relevanten Tatsachen auch gleich zu behandeln (zum Gleichbehandlungsgebot vgl. Rainer J. Schweizer, in: Bernhard Ehrenzeller/Philippe Mastronardi/Rainer J. Schweizer/Klaus A. Vallender, Die schweizerische Bundesverfassung, Zürich 2002, N. 42 zu Art. 8; ferner BGE 129 I 346 E. 6 S. 357, BGE 129 I 113 E. 5.1 S. 125 f., BGE 123 I 1 E. 6a S. 7 oder BGE 117 Ia 257 E. 3b S. 259). Die Verletzung von Mitwirkungspflichten bildet lediglich ein Kriterium bei der Beurteilung, ob ein schwerwiegender persönlicher Härtefall vorliegt. Dieses entscheidet für sich allein nicht über die Erteilung oder Verweigerung der Zustimmung, Dazu bedarf es einer Gesamtwürdigung sämtlicher Umstände. Die Verletzung der Mitwirkungspflichten führt, entgegen der Behauptung nicht zu einer Sonderbehandlung, weshalb das Gebot der Gleichbehandlung nicht tangiert ist.</w:t>
      </w:r>
    </w:p>
    <w:p>
      <w:r>
        <w:rPr>
          <w:b/>
        </w:rPr>
        <w:t>E. 7</w:t>
      </w:r>
    </w:p>
    <w:p>
      <w:r>
        <w:t>Zusammenfassend ist festzuhalten, dass sich die Beziehung des Beschwerdeführers zur Schweiz in der langen (zum grössten Teil rechtswidrigen) Aufenthaltsdauer erschöpft. Seine Integration hierzulande kann bestenfalls als durchschnittlich bezeichnet werden. Wenn ihm eine Wiedereingliederung in Jordanien nach über 18 Jahren Abwesenheit auch nicht leicht fallen dürfte, so stehen ihm doch keine unüberwindbaren Schwierigkeiten entgegen. Sollte er schliesslich nach seiner Rückkehr in Jordanien ärztlicher Betreuung bedürfen, steht es ihm frei, eine solche in Anspruch zu nehmen. Im Rahmen einer Gesamtwürdigung kommt das Bundesverwaltungsgericht zum Schluss, dass kein schwerwiegender persönlicher Härtefall im Sinne von Art. 14 Abs. 2 AsylG vorliegt. Die Vorinstanz hat ihre Zustimmung daher zu Recht verweigert.</w:t>
      </w:r>
    </w:p>
    <w:p>
      <w:r>
        <w:rPr>
          <w:b/>
        </w:rPr>
        <w:t>E. 8</w:t>
      </w:r>
    </w:p>
    <w:p>
      <w:r>
        <w:t>Aus den vorstehenden Erwägungen ergibt sich, dass die angefochtene Verfügung zu Recht ergangen ist (Art. 49 VwVG). Die Beschwerde ist demzufolge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w:t>
      </w:r>
    </w:p>
    <w:p>
      <w:r>
        <w:rPr>
          <w:b/>
        </w:rPr>
        <w:t>E. 10</w:t>
      </w:r>
    </w:p>
    <w:p>
      <w:r>
        <w:t>Das vorliegende Urteil ist endgültig (Art. 83 Bst. c Ziff. 2 des Bundesgerichtsgesetzes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