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C-925/2013 vom 11. Juni 2013</w:t>
      </w:r>
    </w:p>
    <w:p>
      <w:r>
        <w:t>Bundesverwaltungsgericht, 2013-06-11, FR</w:t>
      </w:r>
    </w:p>
    <w:p>
      <w:r>
        <w:rPr>
          <w:b/>
        </w:rPr>
        <w:t xml:space="preserve">Quelle: </w:t>
      </w:r>
      <w:r>
        <w:t>https://mcp.opencaselaw.ch/entscheid/bvger_C-925_2013</w:t>
      </w:r>
    </w:p>
    <w:p>
      <w:r>
        <w:t>FR: TAF C-925/2013 du 11 juin 2013</w:t>
      </w:r>
    </w:p>
    <w:p>
      <w:r>
        <w:t>IT: TAF C-925/2013 del 11 giugno 2013</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2.1</w:t>
      </w:r>
    </w:p>
    <w:p>
      <w:r>
        <w:t>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"Etat membre" au sens des règlements de coordination (cf. l'art. 1er al. 2 de l'annexe II de l'ALCP).</w:t>
      </w:r>
    </w:p>
    <w:p>
      <w:r>
        <w:rPr>
          <w:b/>
        </w:rPr>
        <w:t>E. 2.2</w:t>
      </w:r>
    </w:p>
    <w:p>
      <w:r>
        <w:t>Selon l'art. 1er al. 1 en relation avec la section A de l'annexe II dans sa version entrée en force le 1er avril 2012 (cf. la décision n° 1/2012 du Comité mixte du 31 mars 2012 [RO 2012 2345])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(JO L. 284 du 30 octobre 2009), et le règlement (CE) du Parlement européen et du Conseil du 16 septembre 2009 no 987/2009 fixant les modalités d'application du règlement (CE) no 883/2004 (avec annexes) (RS 0.831.109.268.11). Les anciens règlements (CEE) n° 1408/71 et (CEE) 574/72 abrogés au 31 mars 2012 sont selon l'art. 1er al. 1 en relation avec la section A ch. 3 et 4 dans la version en vigueur au 1er avril 2012 de l'annexe II à l'ALCP applicables entre les parties contractantes dans la mesure où le règlement (CE) n° 883/2004 ou (CE) 987/2009 y fait référence ou lorsque des affaires qui ont eu lieu par le passé sont concernées (cf. ég. l'art. 87 al. 1 du règlement [CE] n° 883/2004 et l'arrêt du Tribunal fédéral 8C_287/2012 du 15 novembre 2012 consid. 2.2).</w:t>
      </w:r>
    </w:p>
    <w:p>
      <w:r>
        <w:rPr>
          <w:b/>
        </w:rPr>
        <w:t>E. 2.3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 Or le règlement CE 883/2004 dans ses considérants préliminaires (consid. 16) prévoit la possibilité de restrictions pour des prestations spéciales en lien avec l'environnement économique et social de l'intéressé. L'art. 7 du règlement précise qu'à moins que [ledit] règlement n'en dispose autrement, les prestations en espèces dues en vertu de la législation d'un ou de plusieurs États membres ou du présent règlement ne peuvent faire l'objet d'aucune réduction, modification, suspension, suppression ou confiscation du fait que le bénéficiaire ou les membres de sa famille résident dans un État membre autre que celui où se trouve l'institution débitrice, mais l'art. 70 du règlement précité réserve toutefois quelques exceptions s'agissant de prestations spéciales en espèces à caractère non contributif qui peuvent être allouées en référence à une condition de résidence dans l'Etat les dispensant. On entend par "prestations spéciales en espèces à caractère non contributif" selon l'art. 70 par. 1 du règlement les prestations a) qui sont destinées i) soit à couvrir à titre complémentaire, subsidiaire ou de remplacement, les risques correspondant aux branches de sécurité sociales visées à l'art. 3 par 1 et à garantir aux intéressés un revenu minimum de subsistance eu égard à l'environnement économique et social dans l'Etat concerné, ii) soit uniquement à assurer la protection spécifique des personnes handicapées, étroitement liées à l'environnement social de ces personnes dans l'Etat membre concerné, et b) qui sont financées exclusivement par des contributions fiscales obligatoires destinées à couvrir des dépenses publiques générales et dont les conditions d'attribution et modalités de calcul ne sont pas fonction d'une quelconque contribution pour ce qui concerne leurs bénéficiaires. Les prestations versées à titre de complément d'une prestation contributive ne sont toutefois pas considérées, pour ce motif, comme des prestations contributives, et c) qui sont énumérées à l'annexe X. En l'occurrence les allocations pour impotent de l'assurance-invalidité font l'objet d'une exception d'exportation selon l'annexe X par le Protocole à l'annexe II de l'ALCP (cf. Lettre circulaire AI n° 309 de l'Office fédéral des assurances sociales du 15 février 2012).</w:t>
      </w:r>
    </w:p>
    <w:p>
      <w:r>
        <w:rPr>
          <w:b/>
        </w:rPr>
        <w:t>E. 3</w:t>
      </w:r>
    </w:p>
    <w:p>
      <w:r>
        <w:t>Selon l'art. 42 al. 1 LAI les assurés impotents (art. 9 LPGA) qui ont leur domicile et leur résidence habituelle (art. 13 LPGA) en Suisse ont droit à une allocation pour impotent. L'art. 42bis [Conditions spéciales applicables aux mineurs] est réservé. Il s'ensuit de la disposition précitée que le domicile et la résidence habituelle doivent être en Suisse pour percevoir une allocation d'impotent. La notion de domicile est celle de l'art. 23 du Code civil (CS, RS 210) qui énonce que le domicile de toute personne est au lieu où elle réside avec l'intention de s'y établir. La notion de domicile comporte deux éléments: l'un objectif, la présence physique en un endroit donné; l'autre subjectif, l'intention d'y demeurer durablement (ATF 136 II 405, ATF 137 II 122, ATF 137 III 593). Il appert du dossier que l'intéressé s'est établi en Espagne durablement. La curatelle volontaire qu'il a requise des offices et instances genevois en la matière a été levée au 19 octobre 2012, un rapport final de curatelle a été établi au 26 octobre 2012 qui lui a été adressé à son domicile en Espagne en date du 28 janvier 2013 où il y réside selon un certificat de résidence établi le 16 novembre 2012 par la commune de Fiñana. Dans ses écritures, dont sa dernière communication reçue le 3 juin 2013, il n'invoque pas un séjour de durée limitée en Espagne. Il appert dès lors de ce qui précède que, vu l'art. 42 al. 1 LAI posant la condition d'un domicile et d'une résidence habituelle de l'assuré en Suisse à l'octroi d'allocations d'impotence, c'est à bon droit que celles-ci ont été supprimées à fin novembre 2012.</w:t>
      </w:r>
    </w:p>
    <w:p>
      <w:r>
        <w:rPr>
          <w:b/>
        </w:rPr>
        <w:t>E. 4</w:t>
      </w:r>
    </w:p>
    <w:p>
      <w:r>
        <w:t>Par ces motifs le recours manifestement infondé doit être rejeté et la décision attaquée confirmée dans une procédure à juge unique en application de l'art. 85bis al. 3 de la loi fédérale du 20 décembre 1946 sur l'assurance-vieillesse et survivants (LAVS, RS 831.10) auquel renvoie l'art. 69 al. 2 LAI. Par décision du 11 février 2013 l'autorité inférieure a demandé au recourant de restituer 2'330 francs pour les prestations indûment perçues en décembre 2012 et janvier 2013. Cette décision ne fait pas l'objet de la présente procédure. Le dossier est donc transmis à l'autorité inférieure afin qu'elle se prononce sur la demande de remise présentée par le recourant.</w:t>
      </w:r>
    </w:p>
    <w:p>
      <w:r>
        <w:rPr>
          <w:b/>
        </w:rPr>
        <w:t>E. 5</w:t>
      </w:r>
    </w:p>
    <w:p>
      <w:r>
        <w:t>La procédure de recours en matière de contestations portant sur l'octroi ou le refus de prestations de l'AI devant le Tribunal administratif fédéral est en principe soumise à des frais de justice (art. 69 al. 1bis et 2 LAI). Toutefois,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Vu l'issue de la procédure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