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C-923/2008 vom 26. Februar 2010</w:t>
      </w:r>
    </w:p>
    <w:p>
      <w:r>
        <w:t>Bundesverwaltungsgericht, 2010-02-26, DE</w:t>
      </w:r>
    </w:p>
    <w:p>
      <w:r>
        <w:rPr>
          <w:b/>
        </w:rPr>
        <w:t xml:space="preserve">Quelle: </w:t>
      </w:r>
      <w:r>
        <w:t>https://mcp.opencaselaw.ch/entscheid/bvger_C-923_2008</w:t>
      </w:r>
    </w:p>
    <w:p>
      <w:r>
        <w:t>FR: TAF C-923/2008 du 26 février 2010</w:t>
      </w:r>
    </w:p>
    <w:p>
      <w:r>
        <w:t>IT: TAF C-923/2008 del 26 febbraio 2010</w:t>
      </w:r>
    </w:p>
    <w:p>
      <w:pPr>
        <w:pStyle w:val="Heading2"/>
      </w:pPr>
      <w:r>
        <w:t>Regeste</w:t>
      </w:r>
    </w:p>
    <w:p>
      <w:r>
        <w:t>Zuteilung zu den Prämientarifen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UVG ausdrücklich geregelt.</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52 VwVG). Als Adressatin des Einspracheentscheides ist die Beschwerdeführerin durch die angefochtene Verfügung berührt und hat ein schutzwürdiges Interesse an deren Aufhebung oder Abänderung (Art. 59 ATSG, Art. 48 Abs. 1 VwVG). Auf die Beschwerde ist deshalb, nachdem auch der Kostenvorschuss fristgerecht geleistet wurde,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Benoît Bovay/Minh Son Nguyen [Hrsg.], Mélanges en l'honneur de Pierre Moor, Bern 2005, S. 326 f.; RETO FELLER/MARKUS MÜLLER, Die Prüfungszuständigkeit des Bundesverwaltungsgerichts - Probleme der praktischen Umsetzung, in Schweizerisches Zentralblatt für Staats- und Verwaltungsrecht [ZBl] 110/2009 S. 442 ff.).</w:t>
      </w:r>
    </w:p>
    <w:p>
      <w:r>
        <w:rPr>
          <w:b/>
        </w:rPr>
        <w:t>E. 2.2.2</w:t>
      </w:r>
    </w:p>
    <w:p>
      <w:r>
        <w:t>Im Bereich der Prämientarife besteht die Überprüfungsbefugnis des Bundesverwaltungsgerichtes einerseits darin, die richtige Anwendung des Tarifs zu kontrollieren; andererseits kann es - im Rahmen der konkreten Normenkontrolle -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oder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Tarifes trotzdem nicht zu beanstanden ist (Urteil des Eidgenössischen Versicherungsgerichts [EVG] U 240/03 vom 2. Juni 2004, E. 3.2.2). Eine Tarifposition darf deshalb nicht losgelöst von den übrigen Tarifbestimmungen gewürdigt werden, sondern ist im Gesamtzusammenhang zu beurteilen (BVGE 2007/27 E. 3.2; Urteil Eidgenössische Rekurskommission für die Unfallversicherung [REKU] vom 13. Dezember 2004, publiziert in VPB 69.73, E. 3).</w:t>
      </w:r>
    </w:p>
    <w:p>
      <w:r>
        <w:rPr>
          <w:b/>
        </w:rPr>
        <w:t>E. 2.2.3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3</w:t>
      </w:r>
    </w:p>
    <w:p>
      <w:r>
        <w:t>Zunächst ist auf die bei der Prämientarifgestaltung und der Einreihung der Betriebe in diesen Tarif zu beachtenden wichtigsten gesetzlichen Bestimmungen und massgebenden Grundsätze einzugehen.</w:t>
      </w:r>
    </w:p>
    <w:p>
      <w:r>
        <w:rPr>
          <w:b/>
        </w:rPr>
        <w:t>E. 3.1</w:t>
      </w:r>
    </w:p>
    <w:p>
      <w:r>
        <w:t>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w:t>
      </w:r>
    </w:p>
    <w:p>
      <w:r>
        <w:rPr>
          <w:b/>
        </w:rPr>
        <w:t>E. 3.2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3.3</w:t>
      </w:r>
    </w:p>
    <w:p>
      <w:r>
        <w:t>Für die Bemessung der Prämien in der Nichtberufsunfallversicherung können Tarifklassen gebildet werden. Die Prämien dürfen nicht nach dem Geschlecht der versicherten Personen abgestuft werden (Art. 92 Abs. 6 UVG).</w:t>
      </w:r>
    </w:p>
    <w:p>
      <w:r>
        <w:rPr>
          <w:b/>
        </w:rPr>
        <w:t>E. 3.4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w:t>
      </w:r>
    </w:p>
    <w:p>
      <w:r>
        <w:rPr>
          <w:b/>
        </w:rPr>
        <w:t>E. 3.5</w:t>
      </w:r>
    </w:p>
    <w:p>
      <w:r>
        <w:t>Neben diesen, im Gesetz explizite geregelten Prinzipien, müssen sich die Versicherer bei der Aufstellung der Tarife an die allgemeinen Grundsätze halten, welche aus dem Sozialversicherungsrecht des Bundes, dem Verwaltungsrecht und der Bundesverfassung fliessen.</w:t>
      </w:r>
    </w:p>
    <w:p>
      <w:r>
        <w:rPr>
          <w:b/>
        </w:rPr>
        <w:t>E. 3.5.1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 REKU vom 28. Juni 1996, publiziert in VPB 61.23A_I, E. 4d), sollen doch die Prämieneinnahmen nicht durch übermässige Verwaltungsaufwendungen geschmälert werden.</w:t>
      </w:r>
    </w:p>
    <w:p>
      <w:r>
        <w:rPr>
          <w:b/>
        </w:rPr>
        <w:t>E. 3.5.2</w:t>
      </w:r>
    </w:p>
    <w:p>
      <w:r>
        <w:t>Ein Prämientarif hat sodann den Grundsätzen der Verfassung zu entsprechen, insbesondere dem Prinzip der Gleichbehandlung (Art. 8 Abs. 1 der Bundesverfassung der Schweizerischen Eidgenossenschaft vom 18. April 1999 [BV], SR 101)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 Grund der Verhältnisse aufdrängen (BGE 133 V 42 E. 3.1 mit Hinweisen).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w:t>
      </w:r>
    </w:p>
    <w:p>
      <w:r>
        <w:rPr>
          <w:b/>
        </w:rPr>
        <w:t>E. 3.5.3</w:t>
      </w:r>
    </w:p>
    <w:p>
      <w:r>
        <w:t>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3.6</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 nicht identischer - Betriebe für die Einreihung mit ein, sei dies im Rahmen der Zuteilung zu den Klassen oder bei der Berücksichtigung von Vergleichswerten (BVGE 2007/27 E. 5.6).</w:t>
      </w:r>
    </w:p>
    <w:p>
      <w:r>
        <w:rPr>
          <w:b/>
        </w:rPr>
        <w:t>E. 4</w:t>
      </w:r>
    </w:p>
    <w:p>
      <w:r>
        <w:t>Die Beschwerdeführerin rügt in erster Linie den von der Suva erlassenen Prämientarif. Weil dieser keinen eigenen Unterklassenteil für den grabenlosen Leitungsbau vorsieht, werde das Rechtsgleichheitsgebot verletzt.</w:t>
      </w:r>
    </w:p>
    <w:p>
      <w:r>
        <w:rPr>
          <w:b/>
        </w:rPr>
        <w:t>E. 4.1</w:t>
      </w:r>
    </w:p>
    <w:p>
      <w:r>
        <w:t>Der Suva steht bei der Bildung von Risikogemeinschaften - die vom Gesetz gefordert und Voraussetzung für risikogerechte Prämiendifferenzierungen sind (vgl. E. 3.2 hiervor) - ein erheblicher Ermessensspielraum zu. Die Einteilung in Klassen hat nach sachlichen Gesichtspunkten zu erfolgen, die eine rechtsungleiche Behandlung der Versicherten ausschliessen. Ist ein Unterscheidungsmerkmal sachlich gerechtfertigt, so hält es auch vor dem Erfordernis der Rechtsgleichheit stand. Sachlich gerechtfertigt ist das Unterscheidungsmerkmal, wenn es sich auf eine wesentliche Tatsache stützt. Dabei hält Art. 92 Abs. 2 UVG namentlich fest, dass das Unterscheidungsmerkmal in der Art und in den Verhältnissen des Betriebs zu suchen ist (BVGE 2007/27 E. 6 mit Hinweisen auf Literatur und Rechtsprechung). Nach welchen konkreten Risikogesichtspunkten im Einzelnen aber solche Risikogemeinschaften zusammenzufassen sind, wird durch die Grundsätze der Gegenseitigkeit (Art. 61 UVG) und der Rechtsgleichheit nicht determiniert. Dies kann innerhalb so weit gesteckter Grenzen auf unterschiedliche Arten geschehen. Bei der Bestimmung der für die Zuteilung wesentlichen Kriterien ist auch der Grundsatz der Verwaltungsökonomie zu beachten, wonach das gewählte Element nicht zu einem derart hohen Verwaltungsaufwand führen darf, dass ein unverhältnismässig grosser Anteil der Prämien für die Kosten der Verwaltung verwendet wird. Es wird also unter Umständen ein gewisser Schematismus notwendig, da auf relativ einfache und praktikable Unterscheidungskriterien abzustellen ist, selbst wenn daraus eine gewisse Rechtsungleichheit erwachsen kann (vgl. BGE 131 I 291 E. 3.2, 112 V 283 E. 4b; SVR 1995 KV Nr. 60; JÖRG PAUL MÜLLER/MARKUS SCHEFER, Grundrechte in der Schweiz, 4. Aufl., Bern 2008, S. 671 ff.); allerdings muss die der Verwaltung geschaffene Erleichterung die in einzelnen Fällen erfolgende Abweichung von der Rechtsgleichheit aufwiegen (BEATRICE WEBER-DÜRLER, Verwaltungsökonomie und Praktikabilität im Rechtsstaat, ZBl 87/1986, S. 212 f.; BGE 107 V 203 E. 3a). Auch wenn neben der von der Suva gewählten Lösung andere Einteilungen vorstellbar sind, kann daraus noch nicht geschlossen werden, dass diese ihren Ermessensspielraum überschreitet (siehe auch vorne E. 2.2.2). Ideal wäre es, wenn jeder Betrieb für sich eine Risikogemeinschaft bilden könnte. Da aber ein einzelner Betrieb meist zu wenig schlüssige Risikostatistiken aufweist, müssen mehrere Betriebe zu Risikogemeinschaften zusammengefasst werden. Dies gilt insbesondere für kleinere Betriebe, denn das Risiko eines Berufsunfalls mit Invaliditätsfolge verwirklicht sich beispielsweise durchschnittlich pro Jahr einmal auf 1'500 Beschäftigte (siehe Broschüre Prämienbemessung, S. 4). In der Realität existieren jedoch keine völlig identischen Betriebe, weshalb jede Zusammenfassung von Betrieben zu einer Risikogemeinschaft gewisse Schematisierungen mit sich bringt. Dies liegt allerdings in der Natur der Sache begründet. Bei Betrachtung eines konkreten Betriebs sind somit in den meisten Fällen gewisse Merkmale anzutreffen, die sich bei anderen Betrieben der gleichen Gemeinschaft nicht oder anders ausgestaltet finden (BVGE 2007/27 E. 6 S. 323).</w:t>
      </w:r>
    </w:p>
    <w:p>
      <w:r>
        <w:rPr>
          <w:b/>
        </w:rPr>
        <w:t>E. 4.2</w:t>
      </w:r>
    </w:p>
    <w:p>
      <w:r>
        <w:t>Bei der Suva bestehen die Risikogemeinschaften in der BUV aus Klassen, Unterklassen und Unterklassenteilen. Klassen sind Risikogemeinschaften, in welchen zum Zweck der langfristigen Finanzierung Unterklassen desselben Wirtschaftszweigs zusammengefasst werden. In der Risikogemeinschaft Unterklasse werden zum Zweck der statistischen Auswertung Unterklassenteile derselben Branchen zusammengefasst. Unterklassenteile sind Risikogemeinschaften, in welchen zum Zweck der Prämienbemessung gleichartige Betriebe und Betriebsteile mit gleichartigem Unfallrisiko zusammengefasst werden. In der NBUV entsprechen die Risikogemeinschaften in der Regel den Klassen der BUV (zum Ganzen siehe Urteil BVGer C-376/2008 vom 27. November 2009 E. 5.6 mit Hinweisen, vgl. auch Prämienbemessung - Berufs- und Nichtberufsunfallversicherung, Suva-Broschüre 2736.d - 2009 [im Folgenden: Broschüre Prämienbemessung] S. 7).</w:t>
      </w:r>
    </w:p>
    <w:p>
      <w:r>
        <w:rPr>
          <w:b/>
        </w:rPr>
        <w:t>E. 4.3</w:t>
      </w:r>
    </w:p>
    <w:p>
      <w:r>
        <w:t>Wie die Suva dargelegt hat, ist die Branche des grabenlosen Leitungsbaus zu klein, um eine eigene Risikogemeinschaft zu bilden, die finanziell selbsttragend ist. Gemäss der schriftlichen Auskunft der A._______ GmbH, welche mit der Replik eingereicht wurde, sind in der Schweiz etwa 30 Betriebe vorwiegend im Bereich der Horizontalbohrungen tätig und weitere 30 Unternehmungen führen eine Abteilung für Horizontalbohrungen. Zur Zeit seien in der Schweiz etwa 250 Horizontalbohrgeräte im Einsatz. Auch die Beschwerdeführerin räumt ein, dass es sich noch um eine relativ kleine Gruppe von Betrieben handelt, die sich ausschliesslich mit dem grabenlosen Leitungsbau beschäftigt. Viele Baugeschäfte würden daneben auch weitere Bautätigkeiten anbieten (vgl. Akt. 1 S. 8). Es verstösst deshalb nicht gegen das Rechtsgleichheitsgebot, wenn im Suva-Prämientarif für Betriebe, die sich (ausschliesslich) mit dem grabenlosen Leitungsbau beschäftigen, keine eigene Klasse bzw. kein eigener Unterklassenteil gebildet wurde.</w:t>
      </w:r>
    </w:p>
    <w:p>
      <w:r>
        <w:rPr>
          <w:b/>
        </w:rPr>
        <w:t>E. 4.4</w:t>
      </w:r>
    </w:p>
    <w:p>
      <w:r>
        <w:t>Zu prüfen bleibt, ob die Suva die Betriebe des grabenlosen Leitungsbaus zu Recht der Klasse 41A, Unterklassenteil A0, zuordnet.</w:t>
      </w:r>
    </w:p>
    <w:p>
      <w:r>
        <w:rPr>
          <w:b/>
        </w:rPr>
        <w:t>E. 4.4.1</w:t>
      </w:r>
    </w:p>
    <w:p>
      <w:r>
        <w:t>Der Klasse 41A werden Betriebe zugeteilt, die sich vorwiegend mit der Bautechnik (Erstellen, Unterhalten und zum Teil auch Planen und Bemessen von Bauwerken des Hoch- und Tiefbaues oder Teilen davon, ausgeschlossen Stahl- und Leichtmetallbau) und/oder der Bergbau- bzw. Steinbruchtechnik (Gewinnen, Aufbereiten von Fels) befassen (Prämien-Wegleitung, Klassenumschreibung). Die Klasse wird in vier Unterklassen aufgeteilt: Unterklasse A, Betriebe, die Arbeiten des Bauhauptgewerbes ausführen, Unterklasse B, Holzbau, Zimmerei, Unterklasse C, Gartenbauarbeiten, Unterklasse T, Grossbaustellen Untertagbau. Die Unterklasse A besteht aus fünf Unterklassenteilen: A0 (Betrieb, der Arbeiten des Bauhauptgewerbes ausführt), A4E (Herstellen von Bauelementen aus Beton), A4G (Gerüstbau), A4K (Allroundarbeiten im Bauhaupt- und -nebengewerbe) und A4W (Strassenoberbau, Belagsbau).</w:t>
      </w:r>
    </w:p>
    <w:p>
      <w:r>
        <w:rPr>
          <w:b/>
        </w:rPr>
        <w:t>E. 4.4.2</w:t>
      </w:r>
    </w:p>
    <w:p>
      <w:r>
        <w:t>In den Unterklassenteil A0 fallen gemäss Prämien-Wegleitung Betriebe, die vorwiegend eine oder mehrere der folgenden Arbeiten ausführen: Erdarbeiten: Lösen und Bewegen von Erde und Gestein, manuell oder maschinell, für Baugruben, Kanalisations- und Leitungsgräben, Drainagen, Trassebauten, Planierungen, Dämme, Tunnel, Stollen, Kavernen usw. Maurerarbeiten (...) Betonarbeiten (...) Gewinnen und Aufbereiten von Felsmaterial (...) Steinhauerarbeiten (...) Weitere Arbeiten: Sondierungs-, Pfählungs-, Rammarbeiten; Gleisbauarbeiten; Spriessen, Gerüsten; Abdichten gegen Feuchtigkeit und Wasser (...).</w:t>
      </w:r>
    </w:p>
    <w:p>
      <w:r>
        <w:rPr>
          <w:b/>
        </w:rPr>
        <w:t>E. 4.4.3</w:t>
      </w:r>
    </w:p>
    <w:p>
      <w:r>
        <w:t>Beim grabenlosen Leitungsbau werden ohne Zweifel Erdarbeiten ausgeführt, wenn auch nicht mittels offenen Gräben, so doch zum Verlegen von Leitungen. Die Aufzählung (erster Spiegelstrich) in der Klassenbeschreibung ist, wie aus dem angefügten "usw." hervorgeht, nicht als abschliessend zu verstehen. Zudem wird - wie die Suva ausführt - bei der Arbeit mit Erdraketen und Richtpressen das Kriterium "Rammarbeiten" erfüllt, weil ein Kopfstück pneumatisch, das heisst mittels Druckluft, ins Erdreich gerammt wird (Akt. 14). Im Übrigen werden in diesem Unterklassenteil eine Vielzahl verschiedener Tätigkeiten erfasst, die auf dem Bau ausgeübt werden, weil lediglich für grössere Betriebskategorien oder Tätigkeitsbereiche mit einer relativ hohen Anzahl von Beschäftigten eigene Unterklassenteile gebildet werden. Die Ähnlichkeit der hier zu beurteilenden Arbeiten mit den in der Klassenumschreibung explizite genannten Arbeiten ist offensichtlich, ebenso wie ihre Zugehörigkeit zur Baubranche.</w:t>
      </w:r>
    </w:p>
    <w:p>
      <w:r>
        <w:rPr>
          <w:b/>
        </w:rPr>
        <w:t>E. 4.4.4</w:t>
      </w:r>
    </w:p>
    <w:p>
      <w:r>
        <w:t>Die Beschwerdeführerin behauptet nicht, die Beschreibung eines anderen Unterklassenteils würde besser zum grabenlosen Leitungsbau passen. Insbesondere werden auch die Unterschiede zu den Betrieben des Kabelleitungsbaus (Klasse 55C) betont (Akt. 12 S. 7). Dass die Beschwerdeführerin eventualiter die gleiche Einreihung wie Betriebe des allgemeinen Handels (52A G0) verlangt, begründet sie insbesondere mit der ihrer Ansicht nach gleichen Betriebsgefahr. Es erscheint aber ohne Weiteres klar, dass Betriebe, die den grabenlosen Leitungsbau betreiben, nicht als Handelsbetriebe zu qualifizieren sind. Anzufügen ist, dass dies auch für die Beschwerdeführerin gilt. Allein der Umstand, dass sie gemäss Handelsregister auch den Handel mit Waren, die im Zusammenhang mit dem grabenlosen Leitungsbau stehen, bezweckt, vermag daran nichts zu ändern.</w:t>
      </w:r>
    </w:p>
    <w:p>
      <w:r>
        <w:rPr>
          <w:b/>
        </w:rPr>
        <w:t>E. 4.4.5</w:t>
      </w:r>
    </w:p>
    <w:p>
      <w:r>
        <w:t>Soweit die Beschwerdeführerin einwendet, die Zuteilung zum Unterklassenteil A0 der Klasse 41A sei deshalb unrichtig, weil das Unfallrisiko beim grabenlosen Leitungsbau weit geringer sei als beim grabengebundenen Leitungsbau, verkennt sie, dass der massgebenden Unterklasse nicht nur Betriebe des Leitungsbaus angehören. Wie bereits ausgeführt, werden in diesem Unterklassenteil verschiedene Tätigkeiten des Baugewerbes zusammengefasst. Angesichts des weiten Ermessens, welches dem Unfallversicherer beim Erlass des Prämientarifs zugestanden wird und muss, ist dies nicht zu beanstanden, zumal mit der Anknüpfung an einzelnen baugewerblichen Tätigkeiten ein sachliches Kriterium gewählt wurde und nicht für jede einzelne - noch so kleine - Gruppe von Betrieben ein eigener Unterklassenteil gebildet werden kann.</w:t>
      </w:r>
    </w:p>
    <w:p>
      <w:r>
        <w:rPr>
          <w:b/>
        </w:rPr>
        <w:t>E. 4.5</w:t>
      </w:r>
    </w:p>
    <w:p>
      <w:r>
        <w:t>Nach dem Gesagten ist der Entscheid der Vorinstanz, wonach Betriebe, die sich mit dem grabenlosen Leitungsbau beschäftigen - somit auch die Beschwerdeführerin -, der Klasse 41A, Unterklassenteil A0, zugeteilt werden, nicht zu beanstanden.</w:t>
      </w:r>
    </w:p>
    <w:p>
      <w:r>
        <w:rPr>
          <w:b/>
        </w:rPr>
        <w:t>E. 4.6</w:t>
      </w:r>
    </w:p>
    <w:p>
      <w:r>
        <w:t>Zu überprüfen bleiben die Einreihung in die Prämientarife der BUV und NBUV für die Jahre 2007 und 2008 bzw. die von der Suva verfügungsweise festgesetzten Prämiensätze.</w:t>
      </w:r>
    </w:p>
    <w:p>
      <w:r>
        <w:rPr>
          <w:b/>
        </w:rPr>
        <w:t>E. 4.6.1</w:t>
      </w:r>
    </w:p>
    <w:p>
      <w:r>
        <w:t>Jedem Unterklassenteil wird im BUV-Grundtarif der Suva ein Prämiensatz als sogenannter Basissatz zugeteilt; bei der NBUV erhält in der Regel eine ganze Klasse den gleichen Basissatz. Ein Betrieb wird grundsätzlich zum Basissatz im Prämientarif eingereiht, wenn nicht das Bonus-Malus-System (BMS) oder die Erfahrungstarifierung (ET) zur Anwendung kommt. Insbesondere neu bei der Suva versicherte sowie kleinere Betriebe, bei welchen die Risikoerfahrungen infolge mangelnder Versicherungsdauer fehlen oder diese wegen mangelnder Grösse nicht aussagekräftig sind, werden zum Basissatz eingereiht (Urteil BVGer C-376/2008 vom 27. November 2009 E. 5.7).</w:t>
      </w:r>
    </w:p>
    <w:p>
      <w:r>
        <w:rPr>
          <w:b/>
        </w:rPr>
        <w:t>E. 4.6.2</w:t>
      </w:r>
    </w:p>
    <w:p>
      <w:r>
        <w:t>Unter das für die BUV entwickelte BMS 03 fallen Betriebe mit einer durchschnittlichen Basisprämie zwischen 5'000 und 300'000 Fr. pro Jahr. Bei diesem Prämienbemessungsmodell wird - neben den allgemeinen Risikoerfahrungen der Risikogemeinschaft - auch der finanzielle Aufwand für die Versicherungsleistungen der letzten sechs Unfalljahre jedes individuellen Betriebes berücksichtigt (vgl. dazu Bonus-Malus-System BMS 03, Berufsunfallversicherung, Suva-Broschüre Nr. 2846. d - 2007 [im Folgenden: Broschüre BMS 03]).</w:t>
      </w:r>
    </w:p>
    <w:p>
      <w:r>
        <w:rPr>
          <w:b/>
        </w:rPr>
        <w:t>E. 4.6.3</w:t>
      </w:r>
    </w:p>
    <w:p>
      <w:r>
        <w:t>Im Bereich der NBUV wird das BMS 07 angewendet, sofern die durchschnittliche Basisprämie pro Jahr zwischen Fr. 60'000 und 300'000 beträgt (Bonus-Malus-System BMS 07 Nichtberufsunfallversicherung, Suva-Broschüre Nr. 2868.d - 2007).</w:t>
      </w:r>
    </w:p>
    <w:p>
      <w:r>
        <w:rPr>
          <w:b/>
        </w:rPr>
        <w:t>E. 4.6.4</w:t>
      </w:r>
    </w:p>
    <w:p>
      <w:r>
        <w:t>Die Beschwerdeführerin wurde für die obligatorische Unfallversicherung nach ihrer Gründung ab dem 1. September 2007 der Suva unterstellt. Da noch keine individuellen Risikoerfahrungen vorliegen, ist der Beschwerde führende Betrieb sowohl in der BUV als auch in der NBUV zum Basissatz in die Prämientarife einzureihen. Für den Unterklassenteil A0 der Klasse 41A galt in der BUV für das Jahr 2007 ein Basissatz (Nettosatz) von 4.28 % (Stufe 111 im BUV-Grundtarif), ab 1. Januar 2008 ein Basissatz von 4.08 % (Stufe 110). Für die NBUV galt in der ganzen Klasse 41A in den beiden Jahren 2007 und 2008 die Basisprämienstufe 98, wobei sich der Bruttoprämiensatz von 2.71 % (2007) auf 2.62 % (2008) reduzierte (siehe Prämientarif 2008, Suva-Broschüre Nr. 335.d, November 2007, S. 5, 7 und 16, Prämientarif 2007, Suva-Broschüre Nr. 335.d, November 2006, S. 5, 7 und 14). Die von der Suva verfügte Einreihung in die Prämientarife ist demnach korrekt.</w:t>
      </w:r>
    </w:p>
    <w:p>
      <w:r>
        <w:rPr>
          <w:b/>
        </w:rPr>
        <w:t>E. 4.7</w:t>
      </w:r>
    </w:p>
    <w:p>
      <w:r>
        <w:t>Daraus folgt, dass der angefochtene Einspracheentscheid zu bestätigen und die Beschwerde abzuweisen ist.</w:t>
      </w:r>
    </w:p>
    <w:p>
      <w:r>
        <w:rPr>
          <w:b/>
        </w:rPr>
        <w:t>E. 5</w:t>
      </w:r>
    </w:p>
    <w:p>
      <w:r>
        <w:t>Zu befinden bleibt noch über die Verfahrenskosten und eine allfällige Parteientschädigung.</w:t>
      </w:r>
    </w:p>
    <w:p>
      <w:r>
        <w:rPr>
          <w:b/>
        </w:rPr>
        <w:t>E. 5.1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1'000.- festzulegen.</w:t>
      </w:r>
    </w:p>
    <w:p>
      <w:r>
        <w:rPr>
          <w:b/>
        </w:rPr>
        <w:t>E. 5.2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