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C-923/2006 vom 9. Mai 2008</w:t>
      </w:r>
    </w:p>
    <w:p>
      <w:r>
        <w:t>Bundesverwaltungsgericht, 2008-05-09, DE</w:t>
      </w:r>
    </w:p>
    <w:p>
      <w:r>
        <w:rPr>
          <w:b/>
        </w:rPr>
        <w:t xml:space="preserve">Quelle: </w:t>
      </w:r>
      <w:r>
        <w:t>https://mcp.opencaselaw.ch/entscheid/bvger_C-923_2006</w:t>
      </w:r>
    </w:p>
    <w:p>
      <w:r>
        <w:t>FR: TAF C-923/2006 du 9 mai 2008</w:t>
      </w:r>
    </w:p>
    <w:p>
      <w:r>
        <w:t>IT: TAF C-923/2006 del 9 maggio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Artikel 37 VGG richtet sich das Verfahren vor dem Bundesverwaltungsgericht nach dem Bundesgesetz über das Verwaltungsverfahren vom 20. Dezember 1968 (VwVG, SR 172.021), soweit dieses Gesetz nichts anderes bestimmt. Das Urteil ist endgültig (Art. 1 Abs. 2 VGG i.V.m. Art. 83 Bst. c Ziff. 1 des Bundesgerichtsgesetzes vom 17. Juni 2005 [BGG, SR 173.110]).</w:t>
      </w:r>
    </w:p>
    <w:p>
      <w:r>
        <w:rPr>
          <w:b/>
        </w:rPr>
        <w:t>E. 1.4</w:t>
      </w:r>
    </w:p>
    <w:p>
      <w:r>
        <w:t>Nebst dem Beschwerdeführer als Verfügungsbetroffenem ist auch die Beschwerdeführerin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Beschwerdeführer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Kolumbien zählt aufgrund der dort herrschenden politischen, gesellschaftlichen und damit verbunden auch wirtschaftlichen Verhältnissen zu denjenigen Ländern, deren Staatsangehörige erfahrungsgemäss nach einer Einreise versucht sein können, nicht mehr in ihr Heimatland zurückzukehren. Die Sicherheitslage im lateinamerikanischen Land ist weiterhin prekär, hat doch Kolumbien eine der weltweit höchsten Kriminalitätsraten; Schwerverbrechen wie Mord, Entführungen und Erpressung von Lösegeldern sind an der Tagesordnung. Auch wenn Kolumbiens Wirtschaft in den letzten Jahren gewachsen ist, sind nach wie vor breite Bevölkerungsschichten von vergleichsweise schwierigen wirtschaftlichen und sozialen Lebensbedingungen betroffen. So betrug die Höhe der Arbeitslosigkeit im Jahre 2006 rund 12 % und die Unterbeschäftigung über 35 % (Quelle: www.auswaertiges-amt.de, Länder- und Reiseinformationen &gt; Kolumbien &gt; Wirtschaftspolitik [Stand Oktober 2007, besucht am 30. April 2008]). Das Bruttoinlandprodukt pro Kopf der Bevölkerung belief sich im Jahre 2007 nur gerade auf 3'144 USD (Quelle: www.seco.admin.ch, Themen &gt; Aussenwirtschaft &gt; Länderinformationen &gt; Kolumbien [Stand Februar 2008, besucht am 30. April 2008]). Entsprechend hoch ist der Anteil jener, die versuchen, ins Ausland zu gelangen, um sich unter günstigeren Lebensbedingungen eine bessere Existenz sichern zu können. Der Trend zeigt sich erfahrungsgemäss dort besonders stark, wo durch die Anwesenheit von Verwandten oder Bekannten bereits ein minimales soziales Beziehungsnetz im Ausland besteht. Im Falle der Schweiz führt dies angesichts der restriktiven Zulassungsregelung nicht selten zur Umgehung ausländerrechtlicher Bestimmungen.</w:t>
      </w:r>
    </w:p>
    <w:p>
      <w:r>
        <w:rPr>
          <w:b/>
        </w:rPr>
        <w:t>E. 4.4</w:t>
      </w:r>
    </w:p>
    <w:p>
      <w:r>
        <w:t>Die schwierigen politischen und sozioökonomischen Bedingungen in Kolumbien werden denn auch von den Beschwerdeführern grundsätzlich nicht in Frage gestellt. Allerdings weisen sie darauf hin, dass der Rekurrent nicht vom Festland stamme, sondern auf der (bloss 27 km² grossen) Karibik-Insel San Andrés lebe, in der politisch, gesellschaftlich und sozial geordnete Verhältnisse herrschten. Obwohl rund 800 km vom Festland entfernt, ist die fragliche Inselgruppe nicht unabhängig, sondern gehört als Provinz ("Departamento de San Andrés y Providencia") zu Kolumbien. Insbesondere die wirtschaftlichen Verhältnisse auf dem Festland dürften sich somit auch auf den Lebensstandard der Inselbewohner auswirken, die auf begrenztem Raum einen rapiden Bevölkerungszuwachs zu verkraften haben. Nur am Rande sei erwähnt, dass sich der Ex-Ehemann der Beschwerdeführerin, ebenfalls aus San Andrés stammend, in der Vergangenheit jedenfalls nicht davon abhalten liess, seine (berufliche) Zukunft in der Schweiz zu suchen. Allerdings wäre es in der Tat zu schematisch und nicht haltbar, generell und ohne spezifische Anhaltspunkte, ausschliesslich aufgrund der politischen und/oder wirtschaftlichen Situation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4.5</w:t>
      </w:r>
    </w:p>
    <w:p>
      <w:r>
        <w:t>Bei der Risikoanalyse sind aber nicht nur solch allgemeine Umstände und Erfahrungen, sondern auch, wie oben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Beim Beschwerdeführer handelt es sich um einen 32-jährigen, unverheirateten Mann, der sich anlässlich der Gesuchseinreichung als selbständiger Fischer ("Pescador independiente") bezeichnete (vgl. Ziff. 9 des persönlichen Einreisegesuches vom 15. September 2006), jedoch keine näheren Angaben zu seinen Erwerbseinkünften bzw. Vermögensverhältnissen machen konnte. Demgegenüber wies die Beschwerdeführerin auf entsprechende Frage gegenüber der kantonalen Migrationsbehörde darauf hin, ihr Freund arbeite als "Moto-Taxi-Fahrer" (vgl. den ausgefüllten Fragebogen vom 10. Oktober 2006). Auf Beschwerdeebene wird unter Vorlage entsprechender Dokumente (Arbeits- und Urlaubsbestätigung, Motorrad-Führerschein, Versicherungsausweis und Zulassungsschein des Motorrad-Taxis) ausgeführt, der Rekurrent befinde sich seit vier Jahren in ungekündigter Stellung als Chauffeur eines Motorradtaxi-Unternehmens und sei ohne Probleme in der Lage, sich zu ernähren. Diese nachgereichten Beweismittel, die weder Hinweise zu den Arbeitsbedingungen noch zur Höhe des erzielten Erwerbseinkommens enthalten, stehen einerseits in klarem Widerspruch zu den ursprünglichen Angaben des Beschwerdeführers. Sollte es sich dabei tatsächlich um Kopien echter Dokumente handeln, ist andererseits nicht nachvollziehbar, wieso ein allenfalls bestehender Arbeitsvertrag vom Rekurrenten nicht bereits anlässlich seiner Gesuchseinreichung vorgelegt oder zumindest erwähnt wurde. Abgesehen davon lässt der Umstand, dass der Beschwerdeführer ungeachtet der behaupteten beruflichen Verpflichtungen die maximal zulässige Aufenthaltsdauer von drei Monaten voll ausschöpfen möchte, zweifellos nicht auf eine starke Verwurzelung im Berufsleben schliessen.</w:t>
      </w:r>
    </w:p>
    <w:p>
      <w:r>
        <w:rPr>
          <w:b/>
        </w:rPr>
        <w:t>E. 5.2</w:t>
      </w:r>
    </w:p>
    <w:p>
      <w:r>
        <w:t>Auf Beschwerdeebene wird im Weitern geltend gemacht, der Rekurrent unterhalte sehr enge familiäre Beziehungen zu seinen ebenfalls auf der Insel lebenden Eltern und Geschwistern sowie zu seinem, allerdings auf dem Festland wohnenden, minderjährigen Sohn, welcher jeweils seine Ferien auf San Andrés verbringe. Dieses Argument vermag nach Ansicht des Bundesverwaltungsgerichts schon deshalb nicht zu überzeugen, weil der Umstand, dass gleich eine dreimonatige Landesabwesenheit geplant ist, nicht ohne weiteres darauf schliessen lässt, die Präsenz des Beschwerdeführers sei für die Belange seiner Familie unverzichtbar. Insofern darf bezweifelt werden, dass dem Rekurrenten im Heimatland zwingende Verpflichtungen obliegen, die ihn ernsthaft von einer Emigration abzuhalten vermöchten, zumal er mit der Gastgeberin und Beschwerdeführerin, bei der es sich um die langjährige Freundin handeln soll, bereits über eine wichtige Bezugsperson in der Schweiz verfügt.</w:t>
      </w:r>
    </w:p>
    <w:p>
      <w:r>
        <w:rPr>
          <w:b/>
        </w:rPr>
        <w:t>E. 5.3</w:t>
      </w:r>
    </w:p>
    <w:p>
      <w:r>
        <w:t>Berücksichtigt man zudem die oben erwähnte allgemeine wirtschaftliche Lage in Kolumbien, dürften die mittelfristigen Zukunftsaussichten des Beschwerdeführers zumindest als schwierig einzustufen sein. In Anbetracht feststellbarer Differenzen betreffend Lebensqualität, sozialer Absicherung und des Lohnniveaus kann nämlich selbst eine regelmässig ausgeübte Erwerbstätigkeit im Heimatland für sich alleine nicht verlässlich vom Entschluss abhalten, aus dem Land zu emigrieren. Eine entsprechende Gewähr kann auch aus der Existenz zurückbleibender Familienangehöriger nicht unbedingt abgeleitet werden. Vielmehr könnte die Absicht auszuwandern gar von der Hoffnung getragen sein, die im Heimatland lebenden Angehörigen aus dem Ausland wirtschaftlich besser unterstützen zu können. Vor diesem Hintergrund müssen die Vorbringen auf Beschwerdeebene, wonach genügend Garantien für eine fristgerechte Wiederausreise vorhanden seien, als nicht ausschlaggebend bezeichnet werden. Im Übrigen hegte auch die Schweizerische Vertretung in Bogotá, welche mit den sozialen, wirtschaftlichen und politischen Verhältnissen im Herkunftsstaat des Beschwerdeführers gut vertraut ist und sich somit durchaus ein Bild des Einreisewilligen machen kann, grosse Bedenken bezüglich der anstandslosen Wiederausreise und verweigerte formlos die Einreisebewilligung.</w:t>
      </w:r>
    </w:p>
    <w:p>
      <w:r>
        <w:rPr>
          <w:b/>
        </w:rPr>
        <w:t>E. 5.4</w:t>
      </w:r>
    </w:p>
    <w:p>
      <w:r>
        <w:t>Nach dem Gesagten durfte die Vorinstanz daher zu Recht davon ausgehen, die Wiederausreise des Beschwerdeführers sei im Sinne der massgeblichen Bestimmungen nicht gesichert. Zwar lässt sich diese Einschätzung nicht zu einer gesicherten Feststellung verdichten; sie reicht aber aus, um die Erteilung eines Einreisevisums - auf das, wie erwähnt, kein Rechtsanspruch besteht - abzulehnen. Gastgeber können zwar für gewisse finanzielle Risiken im Zusammenhang mit dem Besuchsaufenthalt, nicht aber für ein bestimmtes Verhalten des Gastes garantieren. Denn eine Garantie für die rechtzeitige Rückreise ist trotz bester und ehrlicher Absichten nicht möglich bzw. rechtlich nicht durchsetzbar (vgl. Urteil des Bundesverwaltungsgerichts C-2341/2006 vom 7. August 2007 E. 6). Wie bereits mehrfach betont, ist bei der Beurteilung von Einreisebegehren in erster Linie auf die persönlichen Verhältnisse der eingeladenen Personen - und nicht der Gastgeber - abzustellen. Der durchaus verständliche Wunsch der Beschwerdeführerin, ihrem kolumbianischen Freund das Lebensumfeld in der Schweiz zeigen zu können, hat demnach in den Hintergrund zu treten. Als Schweizerbürgerin steht ihr weiterhin die Möglichkeit offen, den Rekurrenten im Heimatland zu besuchen.</w:t>
      </w:r>
    </w:p>
    <w:p>
      <w:r>
        <w:rPr>
          <w:b/>
        </w:rPr>
        <w:t>E. 6</w:t>
      </w:r>
    </w:p>
    <w:p>
      <w:r>
        <w:t>Aus diesen Gründen ist somit nicht zu beanstanden, dass die Vorinstanz das öffentliche Interesse sowie die Beachtung der geltenden Bestimmungen entsprechend gewichtete und dem Beschwerdeführer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werden die unterliegenden Beschwerdeführer kostenpflichtig (Art. 63 Abs. 1 VwVG). Die Verfahrenskosten sind auf Fr. 600.-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