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C-922/2020 vom 2. November 2020</w:t>
      </w:r>
    </w:p>
    <w:p>
      <w:r>
        <w:t>Bundesverwaltungsgericht, 2020-11-02, DE</w:t>
      </w:r>
    </w:p>
    <w:p>
      <w:r>
        <w:rPr>
          <w:b/>
        </w:rPr>
        <w:t xml:space="preserve">Quelle: </w:t>
      </w:r>
      <w:r>
        <w:t>https://mcp.opencaselaw.ch/entscheid/bvger_C-922_2020</w:t>
      </w:r>
    </w:p>
    <w:p>
      <w:r>
        <w:t>FR: TAF C-922/2020 du 2 novembre 2020</w:t>
      </w:r>
    </w:p>
    <w:p>
      <w:r>
        <w:t>IT: TAF C-922/2020 del 2 novembre 2020</w:t>
      </w:r>
    </w:p>
    <w:p>
      <w:pPr>
        <w:pStyle w:val="Heading2"/>
      </w:pPr>
      <w:r>
        <w:t>Regeste</w:t>
      </w:r>
    </w:p>
    <w:p>
      <w:r>
        <w:t>Rentenanspruch</w:t>
      </w:r>
    </w:p>
    <w:p>
      <w:pPr>
        <w:pStyle w:val="Heading2"/>
      </w:pPr>
      <w:r>
        <w:t>Erwägungen</w:t>
      </w:r>
    </w:p>
    <w:p>
      <w:r>
        <w:rPr>
          <w:b/>
        </w:rPr>
        <w:t>E. 1</w:t>
      </w:r>
    </w:p>
    <w:p>
      <w:r>
        <w:t>Die Beschwerde wird in dem Sinn gutgeheissen, dass die angefochtene Verfügung vom 17. Januar 2020 aufgehoben und die Sache zur weiteren Abklärung im Sinne der Erwägungen an die Vorinstanz zurückgewiesen wird.</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250.- zugesprochen.</w:t>
      </w:r>
    </w:p>
    <w:p>
      <w:r>
        <w:rPr>
          <w:b/>
        </w:rPr>
        <w:t>E. 4</w:t>
      </w:r>
    </w:p>
    <w:p>
      <w:r>
        <w:t>Dieses Urteil geht an: - den Beschwerdeführer (Einschreiben mit Rückschein, Beilage: Formular Zahladresse) - die Vorinstanz (Ref-Nr. [...]; Einschreiben) - das Bundesamt für Sozialversicherungen (Einschreiben)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