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C-922/2019 vom 27. Dezember 2019</w:t>
      </w:r>
    </w:p>
    <w:p>
      <w:r>
        <w:t>Bundesverwaltungsgericht, 2019-12-27, DE</w:t>
      </w:r>
    </w:p>
    <w:p>
      <w:r>
        <w:rPr>
          <w:b/>
        </w:rPr>
        <w:t xml:space="preserve">Quelle: </w:t>
      </w:r>
      <w:r>
        <w:t>https://mcp.opencaselaw.ch/entscheid/bvger_C-922_2019</w:t>
      </w:r>
    </w:p>
    <w:p>
      <w:r>
        <w:t>FR: TAF C-922/2019 du 27 décembre 2019</w:t>
      </w:r>
    </w:p>
    <w:p>
      <w:r>
        <w:t>IT: TAF C-922/2019 del 27 dicembre 2019</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durch den angefochtenen Einspracheentscheid besonders berührt und hat an dessen Aufhebung bzw. Abänderung ein schutzwürdiges Interesse, weshalb er beschwerdelegitimiert ist (Art. 48 Abs. 1 VwVG; siehe auch Art. 59 ATSG [SR 830.1]). Auf die frist- und formgerecht eingereichte Beschwerde ist daher einzutreten (Art. 50 Abs. 1 und Art. 52 Abs. 1 VwVG; Art. 38 Abs. 4 lit. c, Art. 39 Abs. 2 und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2.4</w:t>
      </w:r>
    </w:p>
    <w:p>
      <w:r>
        <w:t>In zeitlicher Hinsicht sind grundsätzlich diejenigen Rechtssätze massgebend, die bei der Erfüllung des zu Rechtsfolgen führenden Tatbestandes Geltung hatten (BGE 130 V 329 E. 2.3). Massgebend sind hier folglich jene Normen, die zum Zeitpunkt des Todes von B._______ (im) Oktober 2015 in Kraft standen, insbesondere die entsprechenden Bestimmungen des AHVG, der Verordnung vom 31. Oktober 1947 über die Alters- und Hinterlassenenversicherung (AHVV, SR 831.101), des ATSG und der Verordnung vom 11. September 2002 über den Allgemeinen Teil des Sozialversicherungsrechts (ATSV, SR 830.11).</w:t>
      </w:r>
    </w:p>
    <w:p>
      <w:r>
        <w:rPr>
          <w:b/>
        </w:rPr>
        <w:t>E. 3.1</w:t>
      </w:r>
    </w:p>
    <w:p>
      <w:r>
        <w:t>Anspruch auf eine Altersrente der schweizerischen AHV haben Männer, die das 65. und Frauen, die das 64. Lebensjahr vollendet haben (Art. 21 Abs. 1 AHVG). Der Anspruch entsteht am ersten Tag des Monats, welcher der Vollendung des massgebenden Altersjahres folgt. Er erlischt mit dem Tod (Art. 21 Abs. 2 AHVG).</w:t>
      </w:r>
    </w:p>
    <w:p>
      <w:r>
        <w:rPr>
          <w:b/>
        </w:rPr>
        <w:t>E. 3.2</w:t>
      </w:r>
    </w:p>
    <w:p>
      <w:r>
        <w:t>Unrechtmässig bezogene - und damit auch nach dem Tod ausgerichtete - Leistungen sind zurückzuerstatten. Nicht rückerstattungspflichtig ist, wer Leistungen in gutem Glauben empfangen hat und für den eine Rückerstattung eine grosse Härte bedeuten würde (Art. 25 Abs. 1 ATSG). Rück-erstattungspflichtig sind der Bezüger oder die Bezügerin der unrechtmässig gewährten Leistungen und seine oder ihre Erben (Art. 2 Abs. 1 Bst. a ATSV). Der Rückforderungsanspruch erlischt mit Ablauf eines Jahres, nachdem die Versicherungseinrichtung davon Kenntnis erhalten hat, spätestens aber mit dem Ablauf von fünf Jahren nach der Entrichtung der einzelnen Leistung (Art. 25 Abs. 2 ATSG). Dabei handelt es sich um Verwirkungsfristen (BGE 139 V 1 E. 3.1, 138 V 74 E. 4.1, 133 V 579 E. 4.1, 119 V 431 E. 3a). Die rückwirkende Änderung einer Leistungsausrichtung setzt nicht voraus, dass die versicherte Person die fehlerhafte Leistungsausrichtung kausal zu verantworten hat. Auch wenn der unrechtmässige Bezug auf das Verhalten des Versicherungsträgers zurückzuführen ist, kann sich eine Rückerstattungspflicht ergeben (vgl. UELI KIESER, ATSG-Kommentar, 3. Aufl. 2015, Art. 25 Rz 16).</w:t>
      </w:r>
    </w:p>
    <w:p>
      <w:r>
        <w:rPr>
          <w:b/>
        </w:rPr>
        <w:t>E. 3.3</w:t>
      </w:r>
    </w:p>
    <w:p>
      <w:r>
        <w:t>Die Festlegung einer (allfälligen) Rückerstattung von Leistungen erfolgt in einem mehrstufigen Verfahren: In einem ersten Entscheid ist über die Frage der Unrechtmässigkeit des Bezuges der Leistung zu befinden; dabei ist insbesondere auf Art. 53 ATSG bzw. auf Art. 17 ATSG abzustellen. Daran schliesst sich zweitens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ATSG. Schliesslich ist - gegebenenfalls - drittens über den Erlass der zurückzuerstattenden Leistung zu entscheiden; dafür ist auf Art. 25 Abs. 1 Satz 2 ATSG abzustellen (vgl. UELI KIESER, ATSG-Kommentar, 3. Aufl. 2015, Art. 25 Rz 9).</w:t>
      </w:r>
    </w:p>
    <w:p>
      <w:r>
        <w:rPr>
          <w:b/>
        </w:rPr>
        <w:t>E. 4</w:t>
      </w:r>
    </w:p>
    <w:p>
      <w:r>
        <w:t>Streitig und zu prüfen ist die Rückforderung im Betrag von Fr. 15'606.-.</w:t>
      </w:r>
    </w:p>
    <w:p>
      <w:r>
        <w:rPr>
          <w:b/>
        </w:rPr>
        <w:t>E. 4.1</w:t>
      </w:r>
    </w:p>
    <w:p>
      <w:r>
        <w:t>B._______ starb (im) Oktober 2015 (act. 19), womit sein Anspruch auf die schweizerische Altersrente endete (Art. 21 Abs. 2 AHVG). Dass die nach seinem Tod ausgerichteten Rentenzahlungen für die neun Monate von November 2015 bis Juli 2016 rechtmässig waren, wird auch vom Beschwerdeführer nicht behauptet. Damit bestand für die Vorinstanz Anlass, auf der Grundlage von Art. 25 Abs. 1 Satz ATSG in Verbindung mit Art. 2 Abs. 1 Bst. a ATSV eine Rückforderung an den Beschwerdeführer als einzigen Erben zu stellen.</w:t>
      </w:r>
    </w:p>
    <w:p>
      <w:r>
        <w:rPr>
          <w:b/>
        </w:rPr>
        <w:t>E. 4.2</w:t>
      </w:r>
    </w:p>
    <w:p>
      <w:r>
        <w:t>Die Vorinstanz hat mit Vernehmlassung vom 5. März 2018 sämtliche Zahlungsbestätigungen von der Postfinance für die neun Monate von November 2015 bis Juli 2016 beigebracht (BVGer act. 2, Beilage 4, 5). Damit ist einwandfrei erstellt, dass die zurückgeforderten Rentenzahlungen im Betrag von Fr. 15'606.- von der Vorinstanz tatsächlich ausgerichtet wurden (Art. 73 AHVV).</w:t>
      </w:r>
    </w:p>
    <w:p>
      <w:r>
        <w:rPr>
          <w:b/>
        </w:rPr>
        <w:t>E. 4.3</w:t>
      </w:r>
    </w:p>
    <w:p>
      <w:r>
        <w:t>Demgegenüber belegen die mit der Beschwerde eingereichten Unterlagen nicht, dass das Konto IBAN (...) nach dem Tod von B._______ sofort gesperrt und danach keine Rentenzahlungen mehr gutgeschrieben wurden (BVGer act. 2, Beilage 2, 3): Die Beschwerdebeilage 7 weist einen Saldo von Euro 6'784.34 per 11. September 2015 aus. Die Beschwerdebeilage 8 bezieht sich - gemäss der angegebenen IBAN - auf ein anderes Konto. In der Beschwerdebeilage 9 werden ein Saldo von Euro 10'680.71 per (...) Oktober 2015 und ein Saldo von Euro 9'157.83 per 17. März 2016 angegeben. In der Beschwerdebeilage 10 wird ebenfalls ein Guthaben von Euro 10'680.71 erwähnt. Damit ist nicht dargetan, dass das Konto von B._______ nach dessen Ableben (im) Oktober 2015 sofort gesperrt wurde. Die Veränderung des Kontostands lässt im Gegenteil darauf schliessen, dass weiterhin Transaktionen möglich waren. Erstellt ist nur, dass die Rentenzahlung für den August 2016 mit dem Vermerk «Konto gekündigt» an die Vorinstanz retourniert wurde (act. 18). Weshalb der Beschwerdeführer keinen Auszug für das betreffende Konto bis zur Saldierung beibrachte, ist nicht nachvollziehbar. Der Verweis auf den Auszug für das eigene Konto des Beschwerdeführers bei der gleichen Bank in der Beschwerdebeilage 12 ist dagegen unbehelflich. Im Ergebnis ist nicht auf seine Sachverhaltsdarstellung abzustellen, wonach die Rentenzahlungen auf dem Konto seines Vaters nicht eingegangen seien.</w:t>
      </w:r>
    </w:p>
    <w:p>
      <w:r>
        <w:rPr>
          <w:b/>
        </w:rPr>
        <w:t>E. 4.4</w:t>
      </w:r>
    </w:p>
    <w:p>
      <w:r>
        <w:t>B._______ - bzw. der Beschwerdeführer als dessen Erbe - haben im Verhältnis zur Vorinstanz für die von B._______ mit dem Empfang der monatlichen Rentenzahlungen beauftragte Zahlstelle einzustehen (act. 38, Seite 3; vgl. UELI KIESER, ATSG-Kommentar, 3. Aufl. 2015, Art. 25 Rz 35). Allfällige Unregelmässigkeiten seitens der Empfängerbank bei der Verbuchung von Zahlungseingängen oder bei der Kontoführung gehen nicht zu Lasten der Vorinstanz. Diese hat weiter ihrer Abklärungspflicht nach Art. 43 Abs. 1 ATSG Genüge getan, indem sie zwei «finanztechnische Untersuchungen» mit dem Zahlungspartner Postfinance durchführte (act. 37, 38, 39, 40, 41, 42; BVGer act. 2, Beilage 5; vgl. auch die Ausführungen der Vorinstanz in der Beschwerdeantwort vom 5. März 2018 [BVGer act. 2, Beilage 4]). Zudem forderte sie die Empfängerbank mit Schreiben vom 10. August 2017 (act. 53) und Mahnung vom 19. Oktober 2017 (act. 56) erfolglos zur Rücküberweisung der Fr. 15'606.- auf. Mehr konnte und musste die Vorinstanz nicht tun.</w:t>
      </w:r>
    </w:p>
    <w:p>
      <w:r>
        <w:rPr>
          <w:b/>
        </w:rPr>
        <w:t>E. 4.5</w:t>
      </w:r>
    </w:p>
    <w:p>
      <w:r>
        <w:t>Der Beschwerdeführer erhebt im Übrigen keine weiteren Einwände gegen die Rechtmässigkeit der verfügten Rückforderung. Es sind denn auch keine Anhaltspunkte ersichtlich, weshalb die Rückforderung im Betrag von Fr. 15'606.- nicht rechtmässig sein sollte.</w:t>
      </w:r>
    </w:p>
    <w:p>
      <w:r>
        <w:rPr>
          <w:b/>
        </w:rPr>
        <w:t>E. 5</w:t>
      </w:r>
    </w:p>
    <w:p>
      <w:r>
        <w:t>Zusammenfassend ist festzuhalten, dass sich die Beschwerde als unbegründet erweist, weshalb sie abzuweisen ist. Es steht dem Beschwerdeführer offen, die Vorinstanz um Erlass der rechtmässigen Rückforderung von Fr. 15'606.- zu ersuchen (vgl. Art. 25 Abs. 1 Satz 2 ATSG). Der Erlass wird auf schriftliches Gesuch gewährt. Das Gesuch ist zu begründen, mit den nötigen Belegen zu versehen und spätestens 30 Tage nach Eintritt der Rechtskraft der Rückforderungsverfügung einzureichen (vgl. Art. 4 Abs. 4 ATSV).</w:t>
      </w:r>
    </w:p>
    <w:p>
      <w:r>
        <w:rPr>
          <w:b/>
        </w:rPr>
        <w:t>E. 6</w:t>
      </w:r>
    </w:p>
    <w:p>
      <w:r>
        <w:t>Das Verfahren ist kostenlos (Art. 85bis Abs. 2 AHVG), weshalb keine Verfahrenskosten zu erheben sind. 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