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C-920/2013 vom 23. Oktober 2013</w:t>
      </w:r>
    </w:p>
    <w:p>
      <w:r>
        <w:t>Bundesverwaltungsgericht, 2013-10-23, IT</w:t>
      </w:r>
    </w:p>
    <w:p>
      <w:r>
        <w:rPr>
          <w:b/>
        </w:rPr>
        <w:t xml:space="preserve">Quelle: </w:t>
      </w:r>
      <w:r>
        <w:t>https://mcp.opencaselaw.ch/entscheid/bvger_C-920_2013</w:t>
      </w:r>
    </w:p>
    <w:p>
      <w:r>
        <w:t>FR: TAF C-920/2013 du 23 octobre 2013</w:t>
      </w:r>
    </w:p>
    <w:p>
      <w:r>
        <w:t>IT: TAF C-920/2013 del 23 ottobre 2013</w:t>
      </w:r>
    </w:p>
    <w:p>
      <w:pPr>
        <w:pStyle w:val="Heading2"/>
      </w:pPr>
      <w:r>
        <w:t>Regeste</w:t>
      </w:r>
    </w:p>
    <w:p>
      <w:r>
        <w:t>Revisione della rendita</w:t>
      </w:r>
    </w:p>
    <w:p>
      <w:pPr>
        <w:pStyle w:val="Heading2"/>
      </w:pPr>
      <w:r>
        <w:t>Erwägungen</w:t>
      </w:r>
    </w:p>
    <w:p>
      <w:r>
        <w:rPr>
          <w:b/>
        </w:rPr>
        <w:t>E. 1.1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1.3</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1.4</w:t>
      </w:r>
    </w:p>
    <w:p>
      <w:r>
        <w:t>Il ricorso è tempestivo e rispetta i requisiti minimi previsti dalla legge (art. 60 e 52 PA). L'interessato ha versato l'anticipo delle presunte spese processuali. Il gravame è dunque ammissibile, nulla ostando all'esame di merito dello stesso.</w:t>
      </w:r>
    </w:p>
    <w:p>
      <w:r>
        <w:rPr>
          <w:b/>
        </w:rPr>
        <w:t>E. 2.1</w:t>
      </w:r>
    </w:p>
    <w:p>
      <w:r>
        <w:t>Il diritto applicabile è costituito dalle norme in vigore al momento in cui i fatti giuridicamente determinanti si sono prodotti. Il giudice non prende in considerazione eventuali cambiamenti dello stato di fatto e modifiche del diritto posteriori alla data determinante che è quella della decisione litigiosa (DTF 129 V 4 consid. 1.2). Quando è intervenuto un cambiamento delle norme legislative nel corso del periodo sottoposto ad esame giudiziario, il diritto eventuale alle prestazioni si determina secondo il vecchio diritto per il periodo anteriore e secondo le nuove disposizioni a partire dall'entrata in vigore di quelle nuove (applicazione pro rata temporis; DTF 130 V 445, v. anche la sentenza del Tribunale federale 8C_870/2012 dell'8 luglio 2013 consid. 2.2).</w:t>
      </w:r>
    </w:p>
    <w:p>
      <w:r>
        <w:rPr>
          <w:b/>
        </w:rPr>
        <w:t>E. 2.2</w:t>
      </w:r>
    </w:p>
    <w:p>
      <w:r>
        <w:t>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l'ALC è stato modificato con effetto 1° aprile 2012 dal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Può essere precisato che il regolamento (CE) n. 1408/71 al quale l'ALC rinviava per il periodo precedente il 31 marzo 2012, conteneva una disposizione simile al suo art. 3 cpv. 1.</w:t>
      </w:r>
    </w:p>
    <w:p>
      <w:r>
        <w:rPr>
          <w:b/>
        </w:rPr>
        <w:t>E. 2.3</w:t>
      </w:r>
    </w:p>
    <w:p>
      <w:r>
        <w:t>Può essere sottolineato che il riconoscimento all'estero di una rendita d'invalidità secondo il rispettivo sistema di sicurezza sociale non pregiudica la valutazione dell'invalidità secondo il diritto svizzero (sentenza del Tribunale federale del 4 febbraio 2003 I 435/02). Pertanto, anche con l'entrata in vigore dell'ALC, il grado d'invalidità di un assicurato che postula il riconoscimento di prestazioni AI è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2.4</w:t>
      </w:r>
    </w:p>
    <w:p>
      <w:r>
        <w:t>Per quel che concerne il diritto interno, le modifiche disposte dalla 6a revisione della LAI, entrate in vigore il 1° gennaio 2012, sono ugualmente applicabili nel caso di specie, pur tuttavia osservando che tali nuove norme non hanno comportato dei cambiamenti rispetto al vecchio diritto in merito alla valutazione dell'invalidità.</w:t>
      </w:r>
    </w:p>
    <w:p>
      <w:r>
        <w:rPr>
          <w:b/>
        </w:rPr>
        <w:t>E. 2.5</w:t>
      </w:r>
    </w:p>
    <w:p>
      <w:r>
        <w:t>Il periodo di cognizione giudiziaria dello scrivente Tribunale amministrativo federale si estende fino al 24 gennaio 2013,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3.1</w:t>
      </w:r>
    </w:p>
    <w:p>
      <w:r>
        <w:t>La parte ricorrente solleva in via preliminare la violazione del diritto di essere sentito, dal momento che l'Ufficio AI avrebbe scarsamente motivato la propria decisione.</w:t>
      </w:r>
    </w:p>
    <w:p>
      <w:r>
        <w:rPr>
          <w:b/>
        </w:rPr>
        <w:t>E. 3.2</w:t>
      </w:r>
    </w:p>
    <w:p>
      <w:r>
        <w:t>Il diritto di essere sentito, sancito esplicitamente dall'art. 29 cpv. 2 Cost., è una garanzia costituzionale di natura formale, la cui violazione implica l'annullamento della decisione impugnata, indipendentemente dalla possibilità di successo nel merito (DTF 135 I 187 consid. 2.2). Tale garanzia comprende il diritto per l'interessato di consultare l'incarto, di offrire e di esigere l'assunzione di mezzi probatori purché siano pertinenti e riguardino punti rilevanti per il giudizio, di partecipare all'istruttoria e di potersi esprimere sulle relative risultanze nella misura in cui possano influire sulla decisione. In sostanza, il diritto di essere sentito, quale diritto di partecipazione al procedimento, comprende tutte quelle facoltà che devono essere riconosciute ad una parte affinché possa efficacemente far valere la sua posizione nella procedura (DTF 135 II 286 consid. 5.1). Il diritto di essere sentito comprende anche l'obbligo per l'autorità di motivare le proprie decisioni. Tale obbligo ha lo scopo di porre la persona interessata nelle condizioni di afferrare le ragioni poste a fondamento della decisione, di rendersi conto della portata del provvedimento, di poterlo impugnare con cognizione di causa e di permettere all'autorità di ricorso di esaminare la fondatezza delle decisione medesima. Ciò non significa tuttavia che l'autorità sia tenuta a pronunciarsi in modo esplicito ed esaustivo su tutte le argomentazioni addotte; essa può occuparsi delle sole circostanze rilevanti per il giudizio, atte ad influire sulla decisione (DTF 134 I 83 consid. 4.1). Inoltre,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(DTF 133 I 201 consid. 2.2, 130 II 530 consid. 7.3, 126 V 130 consid. 2b). Tuttavia, qualora il vizio costituisce una grave violazione di procedura, tenuto conto del principio di economia di procedura, è escluso che l'autorità di ricorso lo sani (DTF 132 V 387).</w:t>
      </w:r>
    </w:p>
    <w:p>
      <w:r>
        <w:rPr>
          <w:b/>
        </w:rPr>
        <w:t>E. 3.3</w:t>
      </w:r>
    </w:p>
    <w:p>
      <w:r>
        <w:t>Nella specie, la parte ricorrente argomenta che la decisione è succinta e si limita a indicare due documenti assunti ad atti, in base ai quali ne risulterebbe un'incapacità di guadagno del 22%. Le motivazioni addotte non appaiono pertinenti. Se è pur vero che il progetto di decisione e la decisione che la decisione stessa appaiono succinti relativamente al problema dell'incapacità di guadagno, va rilevato che l'interessato già si avvaleva della rappresentanza del proprio avvocato in sede d'istruttoria ed entrambi erano al corrente del tema centrale del problema posto. Agli stessi è stato chiesto di esibire il questionario per la revisione della rendita ed il questionario del datore di lavoro, compiti che il rappresentante ha adempiuto. Gli interessati erano quindi già a conoscenza dei dati essenziali di questa causa, ossia la ripresa dell'attività lucrativa nel 2008 e il reddito conseguito con la stessa. Le premesse per capire che l'Ufficio AI faceva presente all'assicurato che, con la ripresa dell'attività lucrativa, il grado d'incapacità di guadagno era sensibilmente diminuito erano date. L'interpellato non ha preso posizione in merito al progetto di decisione. Infine, con le osservazioni al ricorso, l'UAIE ha esposto il calcolo relativo alla perdita di guadagno, sanando in questo modo una non grave negligenza commessa in sede amministrativa.</w:t>
      </w:r>
    </w:p>
    <w:p>
      <w:r>
        <w:rPr>
          <w:b/>
        </w:rPr>
        <w:t>E. 4.1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Dopo l'entrata in vigore dei nuovi regolamenti (CE) n. 883/2004 e n. 987/2009, i cittadini svizzeri e dell'Unione europea che presentano un grado d'invalidità del 40% almeno, hanno diritto a un quarto di rendita in applicazione dell'art. 28 cpv. 1 LAI indipendentemente dal loro domicilio e residenza (art. 4 del regolamento [CE] n. 883/04.</w:t>
      </w:r>
    </w:p>
    <w:p>
      <w:r>
        <w:rPr>
          <w:b/>
        </w:rPr>
        <w:t>E. 4.3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5.1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è stata fatta domanda di revisione, nella domanda si deve dimostrare che il grado d'invalidità è modificato in misura rilevante per il diritto a prestazioni (art. 87 cpv. 3 OAI).</w:t>
      </w:r>
    </w:p>
    <w:p>
      <w:r>
        <w:rPr>
          <w:b/>
        </w:rPr>
        <w:t>E. 5.2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5.3</w:t>
      </w:r>
    </w:p>
    <w:p>
      <w:r>
        <w:t>La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 15). In altre parole, le condizioni per procedere ad una revisione materiale non sono adempiute quando ci si trova a fronte di un apprezzamento giuridico o medico divergente di uno stato di fatto rimasto sostanzialmente uguale. Inoltre, una modifica dei criteri di riferimento medico-assicurologici potrebbe condurre ad una valutazione differente di uno stato di fatto rimasto uguale (per esempio un nuovo giudizio medico che si basa sull'evoluzione della giurisprudenza in materia di malattie psicosomatiche). Anche in questo caso, tale modo di agire non è permesso. È solo dunque in presenza di un notevole modifica dello stato di fatto che è possibile tenere conto di un cambiamento della giurisprudenza intervenuto dopo il riconoscimento delle prestazioni (cfr. sentenza del Tribunale federale 9C_418/2010 del 29 agosto 2011 consid. 4.2; DTF 135 V 201 e 215).</w:t>
      </w:r>
    </w:p>
    <w:p>
      <w:r>
        <w:rPr>
          <w:b/>
        </w:rPr>
        <w:t>E. 5.4</w:t>
      </w:r>
    </w:p>
    <w:p>
      <w:r>
        <w:t>La riduzione o la soppressione della rendita è messa in atto al più presto il primo giorno del secondo mese che segue la notifica della decisione (art. 88bis cpv. 2 lett. a OAI).</w:t>
      </w:r>
    </w:p>
    <w:p>
      <w:r>
        <w:rPr>
          <w:b/>
        </w:rPr>
        <w:t>E. 6</w:t>
      </w:r>
    </w:p>
    <w:p>
      <w:r>
        <w:t>Il punto di partenza per stabilire se il grado d'invalidità si è modificato in maniera tale da influire sul diritto alle prestazioni è costituito dall'ultima decisione che ha esaminato materialmente il diritto alla rendita (DTF 133 V 108). Il periodo di riferimento nell'ambito della presente vertenza è pertanto quello intercorrente fra la decisione del 14 marzo 2007, con la quale l'UAIE ha erogato delle prestazioni AI in favore dell'assicurato ed il 24 gennaio 2013, data dell'impugnata decisione di soppressione di prestazioni con effetto retroattivo dal 1° ottobre 2008. Per il vero, la decisione del 14 marzo 2007 è stata riformata con giudizio 19 marzo 2009 di questo Tribunale, quando all'assicurato è stato riconosciuto il diritto alla rendita intera dell'assicurazione svizzera per l'invalidità dal 1° gennaio 2005 al 31 maggio 2006, alla mezza fino al 30 settembre 2006 ed al quarto di rendita dal 1° ottobre 2006.</w:t>
      </w:r>
    </w:p>
    <w:p>
      <w:r>
        <w:rPr>
          <w:b/>
        </w:rPr>
        <w:t>E. 7.1</w:t>
      </w:r>
    </w:p>
    <w:p>
      <w:r>
        <w:t>La nozione d'invalidità di cui all'art. 4 LAI e 8 LPGA è di carattere giuridico economico, non medico (DTF 116 V 249 consid. 1b). In base all'art. 16 LPGA, applicabile per il rinvio dell'art. 28 cpv. 2 LAI (art. 28a cpv. 1 LAI in vigore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Solo in carenza di documentazione economica, la documentazione medica costituisce un importante elemento di giudizio per determinare quali lavori siano ancora ragionevolmente esigibili dall'assicurato, ma non spetta al medico graduare l'invalidità dell'assicurato (DTF 114 V 314).</w:t>
      </w:r>
    </w:p>
    <w:p>
      <w:r>
        <w:rPr>
          <w:b/>
        </w:rPr>
        <w:t>E. 7.2</w:t>
      </w:r>
    </w:p>
    <w:p>
      <w:r>
        <w:t>Al momento in cui venne riconosciuto il diritto alle prestazioni in corso fino alla data di soppressione, l'autorità amministrativa si era fondata su di una documentazione medica, dal momento che durante la precedente procedura non era noto che l'assicurato aveva ripreso un'attività a tempo pieno da settembre 2008. A._______, dopo la lunga interruzione del proprio lavoro durata da gennaio 2004 (infortunio) fino a tutto agosto 2008, ha potuto riprendere, nella regione della sua residenza, un'attività regolare come operaio meccanico in fabbrica, in ragione di 40 ore settimanali e per un salario di 1'585,08 Euro al mese e 20'123 all'anno (doc. 84). Non risulta che abbia fatto registrare delle assenze da imputare a ragioni di salute. Questo lavoro è verosimilmente di tipo leggero/medio pesante in ogni caso inferiore, per quanto riguarda gli sforzi fisici che richiede, a quello svolto nel passato in galleria. Il datore di lavoro non ha menzionato particolari situazioni che abbiano eventualmente giustificato una riduzione di salario (per motivi di salute). Non risulta nessun documento che dimostri che l'attuale attività, iniziata nel 2008, e peraltro non interrotta da frequenti e/o prolungate assenze da imputare a motivi di salute, sia stata svolta in usura e nemmeno si sostiene che il lavoratore offra uno scarso rendimento generale. Non risulta infine che l'attuale retribuzione sia stata erogata per dei motivi sociali.</w:t>
      </w:r>
    </w:p>
    <w:p>
      <w:r>
        <w:rPr>
          <w:b/>
        </w:rPr>
        <w:t>E. 7.3</w:t>
      </w:r>
    </w:p>
    <w:p>
      <w:r>
        <w:t>Da quanto precede, ne consegue che nonostante le lamentate affezioni che di principio non sono contestate (esiti dell'infortunio del 2004; cfr. segnatamente la diagnosi esposta dal medico dell'INPS nella perizia medica particolareggiata del 25 giugno 2012, doc. 87), A._______ ha dimostrato, con comportamento concludente, di aver posto ad utile profitto le sue superstiti energie lavorative in un occupazione confacente le sue attitudini in misura completa come tempo ed orario. La continuità dell'attività in questione (praticamente priva di assenze), almeno fino al 24 gennaio 2013 (data dell'impugnata decisione), depone per l'esigibilità di tale attuale lavoro.</w:t>
      </w:r>
    </w:p>
    <w:p>
      <w:r>
        <w:rPr>
          <w:b/>
        </w:rPr>
        <w:t>E. 7.4</w:t>
      </w:r>
    </w:p>
    <w:p>
      <w:r>
        <w:t>In proposito va ricordato che, 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al lavoro, se necessario in una nuova professione (DTF 130 V 97 consid. 3.2 con i rif.).</w:t>
      </w:r>
    </w:p>
    <w:p>
      <w:r>
        <w:rPr>
          <w:b/>
        </w:rPr>
        <w:t>E. 8.1</w:t>
      </w:r>
    </w:p>
    <w:p>
      <w:r>
        <w:t>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del mercato del lavoro, ed il reddito che potrebbe conseguire se non fosse diventato invalido (art. 16 LPGA). Occorre pertanto esaminare se l'insorgente presenta un'incapacità di guadagno di rilievo.</w:t>
      </w:r>
    </w:p>
    <w:p>
      <w:r>
        <w:rPr>
          <w:b/>
        </w:rPr>
        <w:t>E. 8.2</w:t>
      </w:r>
    </w:p>
    <w:p>
      <w:r>
        <w:t>Per quanto riguarda il reddito privo d'invalidità, la parte ricorrente sostiene che l'interessato, se non fosse diventato invalido, avrebbe potuto percepire un introito annuale di 107'000 franchi. Questo importo non trova riscontro agli atti. In verità, come lo osserva l'autorità inferiore (doc. 14, nuovo incarto), A._______ avrebbe potuto ottenere un reddito attualizzato al 2012 di 7'076,76 franchi. Nel giudizio di questo Tribunale del 19 marzo 2009 è stato ammesso un reddito annuale di 80'324 franchi nel 2006 (cfr. consid. 12.2). E' tuttavia irrilevante dirimere queste contestazioni, dal momento che l'analisi comparativa dei redditi deve essere svolta sullo stesso mercato del lavoro. Una soluzione diversa non è ammissibile (DTF 110 V 273 consid. 4b, sentenze del Tribunale federale 9C_94/2009 del 29 aprile 2009 consid. 4 e 9C_311/2009 del 2 dicembre 2009 consid. 3.3).</w:t>
      </w:r>
    </w:p>
    <w:p>
      <w:r>
        <w:rPr>
          <w:b/>
        </w:rPr>
        <w:t>E. 8.3.1</w:t>
      </w:r>
    </w:p>
    <w:p>
      <w:r>
        <w:t>Ora, dopo l'infortunio, l'assicurato risiede in Italia, ha ritrovato un lavoro in Italia ed i dati relativi a questa attività svolta nel suo Paese sono chiari. Quale reddito privo d'invalidità può essere ritenuto quello statistico italiano nel settore dell'edilizia pesante/scavi. L'Ufficio AI ha ritenuto un reddito mensile di 2'033,67 Euro per il 2012. Questo dato può essere ammesso e costituisce il reddito privo d'invalidità nel 2012 alla base del raffronto dei redditi.</w:t>
      </w:r>
    </w:p>
    <w:p>
      <w:r>
        <w:rPr>
          <w:b/>
        </w:rPr>
        <w:t>E. 8.3.2</w:t>
      </w:r>
    </w:p>
    <w:p>
      <w:r>
        <w:t>Quale introito dopo l'insorgere l'invalidità il datore di lavoro dichiara 1'585,08 Euro al mese. Ora, questa soluzione, adottata dall'autorità inferiore, non è esatta poiché lo stesso datore di lavoro annota un reddito annuo di 20'123 Euro, il che corrisponde ad un reddito mensile di 1'676,91 Euro (calcolato su 12 mesi).</w:t>
      </w:r>
    </w:p>
    <w:p>
      <w:r>
        <w:rPr>
          <w:b/>
        </w:rPr>
        <w:t>E. 8.3.3</w:t>
      </w:r>
    </w:p>
    <w:p>
      <w:r>
        <w:t>Ponendo a confronto un reddito mensile senza l'invalidità di 2'033,67 Euro ed un introito mensile dopo l'insorgenza dell'invalidità di 1'676,91 Euro, si ottiene una perdita di guadagno del 17,55%, grado che non dà diritto ad alcuna prestazione dell'assicurazione svizzera per l'invalidità. In via di revisione, la soppressione della rendita in corso è quindi giustificata. 9.1 Resta da esaminare da quando l'interessato non ha più diritto al quarto di rendita AI. Giusta l'art. 88bis cpv. 2 lett. b OAI, la riduzione o la soppressione della rendita è messa in atto, retroattivamente dalla data in cui avvenne la modificazione determinante se l'erogazione illecita è la causa dell'ottenimento indebito di una prestazione per l'assicurato o se quest'ultimo ha violato l'obbligo di informare impostogli ragionevolmente dall'art. 77. 9.2 Ora, nella fattispecie l'interessato ha informato l'autorità inferiore solo nell'ambito della procedura di revisione avviata il maggio 2012 di avere ripreso un'attività lucrativa già dal settembre 2008. Il 4 giugno 2012 l'interessato ha sottoscritto e inviato il questionario per la revisione della rendita AI dove veniva menzionata per la prima volta l'attività lucrativa svolta. È quindi evidente che l'interessato ha violato il suo obbligo d'informare. L'art. 88bis cpv. 2 lett. b OAI trova pertanto applicazione giustificando la soppressione del quarto di rendita dal 1° ottobre 2008. 9.3 Per quanto attiene alla sentenza di questo Tribunale del 9 gennaio 2013 (inc. C-3847/2012), che in accoglimento del ricorso di A._______, annullava la decisione (incidentale) di sospensione della rendita dell'UAIE del 22 giugno 2012 (effetto 1° luglio 2012) e rinviava gli atti allo stesso ufficio perché rispettasse il diritto di essere sentito, va osservato che i suoi effetti sono privi di oggetto vista la decisione sul merito del 24 gennaio 2013.</w:t>
      </w:r>
    </w:p>
    <w:p>
      <w:r>
        <w:rPr>
          <w:b/>
        </w:rPr>
        <w:t>E. 10.1</w:t>
      </w:r>
    </w:p>
    <w:p>
      <w:r>
        <w:t>Visto quanto precede, il ricorso deve essere respinto e l'impugnata decisione confermata.</w:t>
      </w:r>
    </w:p>
    <w:p>
      <w:r>
        <w:rPr>
          <w:b/>
        </w:rPr>
        <w:t>E. 10.2</w:t>
      </w:r>
    </w:p>
    <w:p>
      <w:r>
        <w:t>Le spese processuali, ammontanti a 400 franchi, sono poste a carico del ricorrente e vengono compensate con l'anticipo da lui fornito il 17 luglio 2013.</w:t>
      </w:r>
    </w:p>
    <w:p>
      <w:r>
        <w:rPr>
          <w:b/>
        </w:rPr>
        <w:t>E. 10.3</w:t>
      </w:r>
    </w:p>
    <w:p>
      <w:r>
        <w:t>Visto l'esito del ricorso, non vengono assegnate indennità per spese ripetibili. Per quel che concerne l'UAIE, le autorità federali non hanno diritto ad un'indennità a titolo di ripetibili (art. 7 cpv. 1 e 3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