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C-91/2009 vom 8. Juni 2009</w:t>
      </w:r>
    </w:p>
    <w:p>
      <w:r>
        <w:t>Bundesverwaltungsgericht, 2009-06-08, DE</w:t>
      </w:r>
    </w:p>
    <w:p>
      <w:r>
        <w:rPr>
          <w:b/>
        </w:rPr>
        <w:t xml:space="preserve">Quelle: </w:t>
      </w:r>
      <w:r>
        <w:t>https://mcp.opencaselaw.ch/entscheid/bvger_C-91_2009</w:t>
      </w:r>
    </w:p>
    <w:p>
      <w:r>
        <w:t>FR: TAF C-91/2009 du 8 juin 2009</w:t>
      </w:r>
    </w:p>
    <w:p>
      <w:r>
        <w:t>IT: TAF C-91/2009 del 8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von Sri Lanka unterliegt der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Deutsches Auswärtiges Amt, &lt;http://www.auswaertiges-amt.de&gt;, Länder, Reisen und Sicherheit &gt; Sri Lanka &gt; Wirtschaft, Stand: November 2008). Darüber hinaus verschlechterte sich die Sicherheitslage im ganzen Land seit 2006 wieder, nachdem erneut Kämpfe zwischen dem Militär und der "Liberation Tigers of Tamil Eelam" (LTTE) ausgebrochen waren. Davon besonders betroffen waren der Osten und Norden Sri Lankas; Anschläge - auch auf zivile Ziele - kamen jedoch im ganzen Land vor. Zudem hatte die Regierung im Januar 2008 das Waffenstillstandsabkommen mit der LTTE offiziell per 16. Januar 2008 gekündigt. Seither hatten die Gefechte im Norden des Landes zugenommen, wobei jedoch auch die Hauptstadt Colombo mehrfach von Anschlägen betroffen war (Quellen: Deutsches Auswärtiges Amt, a.a.O, Länder, Reisen und Sicherheit &gt; Sri Lanka &gt; Reise- und Sicherheitshinweis/Teilreisewarnung, Stand: 23. März 2009, sowie Eidgenössisches Departement für auswärtige Angelegenheiten [EDA], &lt;http://www.eda.admin.ch&gt;, Reisehinweise &gt; Reiseziele &gt; Sri Lanka, Stand: 9. März 2009; vgl. auch Urteil des Bundesverwaltungsgerichts C-1739/2008 vom 3. April 2009 E. 7.2 sowie BVGE 2008/2 E. 7.2 bis 7.5). In den vergangenen Wochen und Monaten war die sri-lankische Armee in die letzten von den tamilischen Rebellen kontrollierten Gebiete vorgerückt und hatte die LTTE weiter zurückgedrängt. Nach einem über zwanzigjährigen bewaffneten Konflikt legten die LTTE am 17. Mai 2009 die Waffen nieder. Die Kämpfe zwischen Armee und Aufständischen in Sri Lanka haben viele Opfer unter der Zivilbevölkerung gefordert. Mehrere hunderttausend Menschen wurden aus ihren Wohnorten vertrieben. Die Lage in den ehemaligen Konfliktzonen im Norden, Osten und im Yala Nationalpark ist weiterhin unübersichtlich; das politische Klima bleibt gespannt. Auch nachdem die Regierung Sri Lankas die Kämpfe mit den Rebellen der LTTE für beendet erklärt hat, kann eine Fortsetzung des Guerilla-Krieges durch einzelne LTTE-Gruppen mit unter Umständen landesweiten Auswirkungen nicht ausgeschlossen werden (Quellen: Deutsches Auswärtiges Amt, a.a.O, Länder, Reisen und Sicherheit &gt; Sri Lanka &gt; Reise- und Sicherheitshinweis/Teilreisewarnung, Stand: 26. Mai 2009, sowie EDA, a.a.O., Reisehinweise &gt; Reiseziele &gt; Sri Lanka, Stand: 22. Mai 2009).</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wobei sich die Anzahl der Gesuche wegen der Eskalation des bewaffneten Konfliktes im Vergleich zum Vorjahr fast verdoppelt hat. Dieser Trend setzte sich in den ersten vier Monaten dieses Jahres fort: In dieser Zeitspanne reichten bereits 587 Personen aus Sri Lanka in der Schweiz ein Asylgesuch ein, nachdem im gleichen Zeitraum des Vorjahres noch 275 Gesuche gestellt worden waren (vgl. BFM-Asylstatistik 2008 vom 12. Januar 2009, S. 4 und 9, Monatsstatistiken 2008 und 2009, im Internet unter: &lt;http://www.bfm.admin.ch&gt;, Themen &gt; Statistiken).</w:t>
      </w:r>
    </w:p>
    <w:p>
      <w:r>
        <w:rPr>
          <w:b/>
        </w:rPr>
        <w:t>E. 8.1</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8.2</w:t>
      </w:r>
    </w:p>
    <w:p>
      <w:r>
        <w:t>Bei dem ursprünglich aus dem Osten Sri Lankas (Batticaloa) stammenden und offenbar seit längerer Zeit in Colombo lebenden Gesuchsteller handelt es sich um einen 26-jährigen Mann, der als Litho-Grafiker bei einem tamilischen Tageszeitungsverlag angestellt ist. Gemäss der eingereichten Arbeitsbestätigung vom 18. Juli 2008 soll er ein monatliches Gehalt von 9'300 LKR (srilankische Rupien) beziehen, was dem Gegenwert von ungefähr 90 CHF entspricht. Damit dürfte der Eingeladene kaum in wirtschaftlich sehr günstigen Verhältnissen leben, die ihn verlässlich von einer Emigration abzuhalten vermöchten, zumal sämtliche mit dem Besuchsaufenthalt verbundenen Kosten nicht von ihm selber, sondern von seinem in der Schweiz lebenden Vater übernommen würden (vgl. Ziff. 20 des persönlichen Einreisegesu-ches).</w:t>
      </w:r>
    </w:p>
    <w:p>
      <w:r>
        <w:rPr>
          <w:b/>
        </w:rPr>
        <w:t>E. 8.3</w:t>
      </w:r>
    </w:p>
    <w:p>
      <w:r>
        <w:t>Der Gesuchsteller ist ledig und gemäss Angaben des Beschwerdeführers alleinstehend, soll doch sein einziger Bruder in Frankreich leben (vgl. den vom Gastgeber am 14. Oktober 2008 ausgefüllten kantonalen Fragebogen). Es kann demnach nicht davon ausgegangen werden, dass im persönlichen oder familiären Umfeld des Eingeladenen Verpflichtungen oder gar Abhängigkeiten vorhanden sind, die besondere Gewähr für eine Rückkehr nach Sri Lanka bieten könnten. Demgegenüber verfügt der Gesuchsteller mit seinen hierzulande lebenden Eltern bereits über engste Bezugspersonen in der Schweiz. In diesem Zusammenhang gilt es insbesondere dem Umstand Rechnung zu tragen, dass sämtliche Familienangehörige des Gesuchstellers ihr Heimatland definitiv verlassen haben und nach Westeuropa (Schweiz, Frankreich) übersiedelt sind, woraus auf einen konkreten Migrationswillen im nächsten Umfeld des Eingeladenen geschlossen werden kann. Vor diesem Hintergrund müssen die Beteuerungen auf Beschwerdeebene, wonach genügend Garantien für eine fristgerechte Wiederausreise vorhanden seien, als nicht ausschlaggebend bezeichnet werden. An dieser Beurteilung vermag auch der Hinweis des Beschwerdeführers, wonach sein Sohn das Haus seiner Mutter in Batticaloa verwalten und unterhalten müsse, nichts zu ändern. Vielmehr lässt der Umstand, dass der Eingeladene eine Auslandabwesenheit von mehreren Wochen plant, jedoch auch die Tatsache, dass sich der fragliche Grundbesitz an der Ostküste Sri Lankas mithin weit entfernt vom Wohn- und Arbeitsort des Gesuchstellers befindet, darauf schliessen, dass der Unterhalt der besagten Liegenschaft auch auf andere Weise sichergestellt werden kann.</w:t>
      </w:r>
    </w:p>
    <w:p>
      <w:r>
        <w:rPr>
          <w:b/>
        </w:rPr>
        <w:t>E. 8.4</w:t>
      </w:r>
    </w:p>
    <w:p>
      <w:r>
        <w:t>Gestützt auf die vorstehenden Erwägungen durfte die Vorinstanz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 An dieser Risikoeinschätzung vermag auch der Hinweis des Beschwerdeführers auf seinen einwandfreien Leumund nichts zu ändern. Seine Integrität in seiner Eigenschaft als Gastgeber wird auch gar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14. Oktober 2008 geschehen ist - zwar für gewisse finanzielle Risiken (Lebensunterhaltskosten während des Besuchsaufenthaltes, allfällige Kosten für Unfall und Krankheit sowie Rückreisekosten) Garantie leisten. Für ein bestimmtes Verhalten des Gastes kann er aber, mangels rechtlicher und faktischer Durchsetzbarkeit, nicht garantieren (vgl. anstelle vieler: Urteile des Bundesverwaltungsgerichts C-204/2008 vom 5. März 2009 E. 8.4 und C-2618/2008 vom 26. Februar 2009 E.11, mit weiteren Hinweisen). Der (durchaus verständliche) Wunsch des Beschwerdeführers und seiner Ehefrau, ihrem Sohn das Lebensumfeld in der Schweiz zeigen zu können, hat demnach in den Hintergrund zu treten. Auch die weiteren Vorbringen des Beschwerdeführers, insbesondere sein Vorwurf an die Vorinstanz, ihm nicht vollständige Akteneinsicht gewährt zu haben, sind nicht geeignet, zu einer vom BFM abweichenden rechtlichen Würdigung zu gelangen. Inwiefern der Beschwerdeführer durch den Hinweis der Vorinstanz, sich zwecks umfassender Akteneinsicht an die kantonale Migrationsbehörde zu wenden, in seinen Rechten verletzt sein sollte, ist nicht ersichtlich.</w:t>
      </w:r>
    </w:p>
    <w:p>
      <w:r>
        <w:rPr>
          <w:b/>
        </w:rPr>
        <w:t>E. 8.5</w:t>
      </w:r>
    </w:p>
    <w:p>
      <w:r>
        <w:t>Darüber hinaus bestehen auch keine Hinweise dafür, dass die Einreiseverweigerung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des Gesuchstellers in der Schweiz zu verwirklichen wäre, was in casu nicht zutrifft. Sowohl dem Beschwerdeführer wie auch seiner Ehefrau steht als Jahresaufenthaltern grundsätzlich die Möglichkeit offen, ihren in Colombo lebenden Sohn - zu gegebener Zeit - im Heimatland zu besuchen. Aus den Akten ergeben sich jedenfalls keine Hinweise, wonach ihnen dies in Zukunft aus rechtserheblichen Gründen verwehrt sein sollte.</w:t>
      </w:r>
    </w:p>
    <w:p>
      <w:r>
        <w:rPr>
          <w:b/>
        </w:rPr>
        <w:t>E. 9</w:t>
      </w:r>
    </w:p>
    <w:p>
      <w:r>
        <w:t>Aus diesen Gründen ist somit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