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C-913/2019 vom 3. Februar 2021</w:t>
      </w:r>
    </w:p>
    <w:p>
      <w:r>
        <w:t>Bundesverwaltungsgericht, 2021-02-03, DE</w:t>
      </w:r>
    </w:p>
    <w:p>
      <w:r>
        <w:rPr>
          <w:b/>
        </w:rPr>
        <w:t xml:space="preserve">Quelle: </w:t>
      </w:r>
      <w:r>
        <w:t>https://mcp.opencaselaw.ch/entscheid/bvger_C-913_2019</w:t>
      </w:r>
    </w:p>
    <w:p>
      <w:r>
        <w:t>FR: TAF C-913/2019 du 3 février 2021</w:t>
      </w:r>
    </w:p>
    <w:p>
      <w:r>
        <w:t>IT: TAF C-913/2019 del 3 febbraio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21. Januar 2019, mit welcher der Publikumspreis (PP) des von der Beschwerdeführerin vertriebenen Arzneimittels B._______ im Rahmen der Überprüfung der Aufnahmebedingungen alle drei Jahre per 1. März 2019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(BVGE 2010/22 E. 4.4).</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 ungen &gt; Krankenversicherung &gt; Bezeichnung der Leistungen &gt; Antragsprozesse &gt; Antragsprozesse Arzneimittel, abgerufen am 15.01.2021,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m.H.).</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sind grundsätzlich diejenigen materiell-rechtlichen Rechtssätze massgebend, die bei der Erfüllung des zu Rechtsfolgen führenden Sachverhalts Geltung haben (BGE 141 V 657 E. 3.5.1 m.w.H.). Massgebend sind vorliegend die im Zeitpunkt der Verfügung, am 21. Januar 2019, geltenden materiellen Bestimmungen (Urteil des BVGer C-5912/2013 vom 30. April 2015 [nicht in BVGE 2015/51 publizierte] E. 2.3). Dazu gehören neben dem KVG (SR 832.10; in der ab 1. Januar 2019 gültigen Fassung), insbesondere die KVV (SR 832.102; in der ab 1. Januar 2019 gültigen Fassung) und die KLV (SR 832.112.31; in der ab 1. Januar 2019 gültigen Fassung).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 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(APV)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65bAbs. 5 und Art. 67 Abs. 1 quater KVV ermittelten Höchstpreis. Liegt der dem geltenden Höchstpreis zugrundeliegende Fabrikabgabepreis unter dem nach Art. 65b Abs. 5 KVV ermittelten Fabrikabgabepreis, so rechtfertigt dies keine Preiserhöhung.</w:t>
      </w:r>
    </w:p>
    <w:p>
      <w:r>
        <w:rPr>
          <w:b/>
        </w:rPr>
        <w:t>E. 4.4.5</w:t>
      </w:r>
    </w:p>
    <w:p>
      <w:r>
        <w:t>Ein in der Spezialitätenliste aufgeführtes Arzneimittel wird gemäss Art. 68 Abs. 1 KVV insbesondere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5</w:t>
      </w:r>
    </w:p>
    <w:p>
      <w:r>
        <w:t>Nicht strittig ist, dass das Arzneimittel B._______ nach wie vor über eine gültige Zulassung des Heilmittelinstituts (Swissmedic) verfügt (vgl. Bst. A) und die Zulassungsvoraussetzungen der Wirksamkeit und Zweckmässigkeit weiterhin erfüllt. Umstritten und zu prüfen ist, ob die von der Vorinstanz im Rahmen der dreijährlichen Überprüfung der Aufnahmebedingungen angeordnete Preisreduktion rechtmässig ist. Dabei ist die Berechnung des APV nicht umstritten, sondern einzig der TQV.</w:t>
      </w:r>
    </w:p>
    <w:p>
      <w:r>
        <w:rPr>
          <w:b/>
        </w:rPr>
        <w:t>E. 5.1</w:t>
      </w:r>
    </w:p>
    <w:p>
      <w:r>
        <w:t>Die Beschwerdeführerin rügt zunächst in formeller Hinsicht, die Vor-instanz habe ihren Anspruch auf rechtliches Gehör verletzt, weil sie ihre Entscheidung ungenügend begründet habe. So habe sie lediglich angegeben, die Berechnungen der Beschwerdeführerin im Zusammenhang mit dem TQV nicht nachvollziehen zu können. Welche Elemente der an sich klaren Berechnungsweise unverständlich sein sollten, habe sie nicht angegeben. Weiter habe sie ohne Begründung erklärt, die pharmakoökonomische Studie von L._______ nicht zu berücksichtigen.</w:t>
      </w:r>
    </w:p>
    <w:p>
      <w:r>
        <w:rPr>
          <w:b/>
        </w:rPr>
        <w:t>E. 5.2</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Der Anspruch auf rechtliches Gehör bezieht sich grundsätzlich nur auf den rechtserheblichen Sachverhalt und nicht auf die rechtliche Würdigung desselben. Dieser verlangt nicht, dass die verfahrensbeteiligte Partei die Gelegenheit erhalten muss, sich zu jedem möglichen Ergebnis, das von der Behörde ins Auge gefasst wird, zu äussern. Die Behörde hat den Parteien also nicht ihre Begründung oder ihren Verfügungsentwurf vorweg zur Stellungnahme zu unterbreiten (BGE 132 II 257 E. 4.2; 132 II 485 E. 3.4). Der Sachverhalt, wie er sich aus Sicht der Behörde darstellt, muss indes mindestens derart detailliert unterbreitet werden, dass die Partei hierzu konkret ihre Einwände erheben kann (Urteil des BVGer E-1472/2007 vom 4. Juni 2007 E. 6.1.2)</w:t>
      </w:r>
    </w:p>
    <w:p>
      <w:r>
        <w:rPr>
          <w:b/>
        </w:rPr>
        <w:t>E. 5.3</w:t>
      </w:r>
    </w:p>
    <w:p>
      <w:r>
        <w:t>Die Vorinstanz hat in ihrem Schreiben an die Beschwerdeführerin vom 25. Oktober 2018 (vgl. Bst. B.e) ausgeführt, dass die pharmakoökonomischen Studie des N._______ (L._______) nicht berücksichtigt werde, weil es sich dabei um eine pharmakoökonomische Metaanalyse handle. Des Weiteren legte sie dar, weshalb sie im TQV die Kosten pro Tag und nicht pro Kur, wie von der Beschwerdeführerin vorgebracht, verglichen hat (vgl. Bst. B.g). So hat sie sich auf die Fachinformation von B._______ berufen, woraus ersichtlich sei, dass die Dauer der Selbstbehandlung auf 24 Stunden zu begrenzen sei und daraus geschlossen, dass es korrekt sei, für den Vergleich den Zeitraum von 24 Stunden im TQV zu berücksichtigen.</w:t>
      </w:r>
    </w:p>
    <w:p>
      <w:r>
        <w:rPr>
          <w:b/>
        </w:rPr>
        <w:t>E. 5.4</w:t>
      </w:r>
    </w:p>
    <w:p>
      <w:r>
        <w:t>Die Vorinstanz äusserte sich somit zu den Argumenten der Beschwerdeführerin, wenn auch nur knapp. Eine Verletzung der Begründungspflicht ist nicht erkennbar, zumal eine sachgerechte Anfechtung der Verfügung ohne Weiteres möglich war. Ob die Begründung der angefochtenen Verfügung zutrifft, ist hingegen eine Frage der materiellen Prüfung.</w:t>
      </w:r>
    </w:p>
    <w:p>
      <w:r>
        <w:rPr>
          <w:b/>
        </w:rPr>
        <w:t>E. 6</w:t>
      </w:r>
    </w:p>
    <w:p>
      <w:r>
        <w:t>Nachfolgend sind zunächst die Standpunkte der Parteien darzulegen (vgl. E. 6.1 ff.). Danach folgt eine Übersicht über die infrage stehenden Arzneimittel (vgl. E. 7). Schliesslich ist zu prüfen, ob der von der Vorinstanz vorgenommene TQV für B._______ den rechtlichen Anforderungen entspricht (vgl. E. 8).</w:t>
      </w:r>
    </w:p>
    <w:p>
      <w:r>
        <w:rPr>
          <w:b/>
        </w:rPr>
        <w:t>E. 6.1</w:t>
      </w:r>
    </w:p>
    <w:p>
      <w:r>
        <w:t>Die Beschwerdeführerin brachte in ihrer Beschwerde im Wesentlichen vor, es sei nicht sachgerecht, wenn die Vorinstanz im Rahmen der Dosierungsangaben im TQV lediglich [...] anstelle der für die Behandlung nötigen [...] Injektionen D._______ annehme. Bei Dauertherapien oder gleich langen Therapien werde der TQV nach Massgabe der Tagestherapiekosten (TTK) durchgeführt. Bei in sich abgeschlossenen Therapien unterschiedlicher Längen seien für den TQV die Kurkosten massgebend. Genau so lege die Vorinstanz Art. 65b Abs. 4bis KVV aus. Wenn in den Fachinformationen die nötigen Angaben fehlen würden, sei der Sachverhalt von Amtes wegen mittels Studien und anderen Informationen zu begründen. Die Vorinstanz habe die unterschiedlichen Wirksamkeiten bzw. die Therapiedauer von B._______ und D._______ nicht berücksichtigt. Bei B._______ stütze sie sich auf die volle Wirksamkeit der Therapie. Den Wert der durchschnittlichen Anzahl an Injektionen habe sie entgegen der Studienlage ([...] bzw. [...] Injektionen) bei [...] festgesetzt. Bei D._______ habe sie lediglich zwei Drittel der Wirksamkeit der gesamten Therapie und damit auch nur zwei Drittel der Kurkosten berücksichtigt. Die zeitliche Beschränkung auf 24 h lasse den Aspekt der unterschiedlichen Wirksamkeiten der Vergleichspräparate ausser Acht. Ein Vergleich von TTK (24 h D._______) und Kurkosten (B._______) sei unzulässig. Die Fachinformationen von B._______ und D._______ i.V.m. der Studienlage würden eindeutig zeigen, wie oft und über welchen Zeitraum die Vergleichspräparate zu applizieren seien. Bei B._______ dauere dies 3 h 36 min (bei [...] Injektionen), 3 h 54 min (bei [...] Injektionen) bzw. 4 h 30 min (bei [...] Injektionen) und bei D._______ 36 Stunden bei [...] Injektionen. Selbst bei einer Beschränkung der Therapiedauer auf 24 Stunden wäre die Annahme einer bloss [...]maligen Applikation von D._______ falsch. Die Verabreichung im Intervall von 12 Stunden führe zu [...] Verabreichungen innerhalb von 24 Stunden (1. Applikation zur Stunde 0, 2. Applikation zur Stunde 12 und die 3. Applikation zur Stunde 24). Die Differenz der Therapiekosten B._______ zum TQV-Niveau ergebe + [...] %. Unter Einbezug des AVP (- [...] %) sei aus der Gesamtrechnung ersichtlich, dass der definitive Senkungssatz mit + [...] % positiv sei.</w:t>
      </w:r>
    </w:p>
    <w:p>
      <w:r>
        <w:rPr>
          <w:b/>
        </w:rPr>
        <w:t>E. 6.2</w:t>
      </w:r>
    </w:p>
    <w:p>
      <w:r>
        <w:t>Die Vorinstanz wendete dagegen in ihrer Vernehmlassung ein, für die massgebende Dosierung zur Durchführung des TQV stütze sie sich auf die Angaben in der Fachinformation. Dabei werde die in der Fachinformation enthaltene mittlere Dosierung berücksichtigt, sofern diese daraus ersichtlich sei. Dies treffe auf B._______ und D._______ zu. Für B._______ sei zudem auch der Behandlungsspielraum, der für die Vergütung im ambulanten Bereich relevant sei, ersichtlich. Sollte eine Therapie mit D._______ auch länger als 24 h ambulant fortgesetzt werden, so stehe ihrer Auffassung nach dies einem Heranziehen von D._______ für den Vergleich von B._______ einzig in Bezug auf eine 24 Stunden Therapie nicht entgegen. Die Vergleichbarkeit der im TQV berücksichtigten Arzneimittel sei mit einer Expertenmeinung aus der Klinik bestätigt worden. Auch das Vorliegen von Studien, in denen B._______ und D._______ parallel an vergleichbare Patienten in zwei Studienarmen verabreicht worden seien, zeige auf, dass es sich dabei um Therapiealternativen handle (R._______ und Q._______). Ob diese Studien als pharmakoökonomische Studien bezeichnet würden, spiele keine Rolle. Die beiden Arzneimittel würden sich in Bezug auf die Halbwertszeit und entsprechend auf ihr Dosierungsintervall unterscheiden. Dies sei im TQV berücksichtigt worden. Es sei zur Berechnung der Vergleichsdosen in erster Linie auf die durchschnittlichen Dosierungen gemäss Fachinformation abzustellen. Die in den Studien angewendeten Dosierungen würden zu Ungunsten von B._______ ausfallen. Während in diesen Studien Patienten in zwei Studienarmen direkt verglichen worden seien, handle es sich bei den Studien, auf welche sich die Beschwerdeführerin abstütze, um Studien, die entweder mit B._______ oder mit D._______ durchgeführt worden seien und bei denen nicht nur die Heimbehandlung, sondern auch die stationäre Verabreichung miteinbezogen worden sei, sodass für B._______ tiefere Kosten als bei D._______ ausgewiesen worden seien.</w:t>
      </w:r>
    </w:p>
    <w:p>
      <w:r>
        <w:rPr>
          <w:b/>
        </w:rPr>
        <w:t>E. 6.3</w:t>
      </w:r>
    </w:p>
    <w:p>
      <w:r>
        <w:t>Replicando hielt die Beschwerdeführerin dagegen, die Studie R._______ sei eine D._______ B._______ Comparative-Studie ("S._______-Studie") der Herstellerin von D._______. Die Objektivität dieser Studie sei aus wissenschaftlicher Sicht somit von Vornherein nicht gegeben. Bezüglich der Studie Q._______ zu P._______ und D._______ wurde vorgebracht, das iranische Biosimilar sei in ganz Europa und in der Schweiz nicht zugelassen. Die Studie komme ohnehin zum Schluss, dass die Therapie in der first-line-Behandlung mit P.________ kostengünstiger sei als mit D._______. Die Studie A.c._______ entspreche der Studie R._______ und sei Teil der "S._______-Studie", die von der Herstellerin D._______ durchgeführt worden sei. Folglich mangle es auch dieser Studie an wissenschaftlicher Objektivität. Bei der Studie A.d._______ beruhe die Dosishäufigkeit auf blossen Annahmen. Bei der Studie A.i._______ würden unterschiedliche Behandlungen (prophylaktische Behandlung bei D._______ vs. Bedarfsbehandlung bei akuten E._______ mit B._______) miteinander verglichen. Solches entspreche nicht dem vorliegenden Konzept des TQV's, wo Kosten der Behandlung einer akuten E._______ miteinander verglichen würden.</w:t>
      </w:r>
    </w:p>
    <w:p>
      <w:r>
        <w:rPr>
          <w:b/>
        </w:rPr>
        <w:t>E. 6.4</w:t>
      </w:r>
    </w:p>
    <w:p>
      <w:r>
        <w:t>In ihrer Ergänzung zur Replik führte die Beschwerdeführerin aus, die Antworten der Expertin bzw. des Experten würden an der Sache vorbeigehen, wenn in der Vernehmlassungsbeilage 1 vier bis fünf erwachsene Personen erwähnt seien, die sogenannte high-responder [...]-G._______-Patienten seien. Mit dem hier vorzunehmenden TQV unter Berücksichtigung der Kurdauer und -kosten sowie der Wirksamkeit von B._______ und D._______ habe dies nichts zu tun. Vielmehr gehe aus der Expertenmeinung hervor, dass B._______ besser sei als D._______. B._______ sei deutlich wirksamer als D._______, weil die Kur mit D._______ deutlich länger dauere als mit B._______.</w:t>
      </w:r>
    </w:p>
    <w:p>
      <w:r>
        <w:rPr>
          <w:b/>
        </w:rPr>
        <w:t>E. 6.5</w:t>
      </w:r>
    </w:p>
    <w:p>
      <w:r>
        <w:t>Die Vorinstanz entgegnete in ihrer Duplik, die Folgerung schnellere Wirkung gleich bessere Wirksamkeit könne nicht ohne Weiteres gezogen werden. So sei eine schnellere Wirkung nur ein H._______ unter verschiedenen, welcher in die Beurteilung des Kriteriums der Wirksamkeit einfliesse. Eine Überlegenheit bezüglich der Wirkung würde zudem über einen Innovationsbeitrag abgegolten. Für B._______ sei jedoch kein Innovationszuschlag beantragt worden.</w:t>
      </w:r>
    </w:p>
    <w:p>
      <w:r>
        <w:rPr>
          <w:b/>
        </w:rPr>
        <w:t>E. 7</w:t>
      </w:r>
    </w:p>
    <w:p>
      <w:r>
        <w:t>Es folgt ein Überblick über die zur Diskussion stehenden Arzneimittel:</w:t>
      </w:r>
    </w:p>
    <w:p>
      <w:r>
        <w:rPr>
          <w:b/>
        </w:rPr>
        <w:t>E. 7.1</w:t>
      </w:r>
    </w:p>
    <w:p>
      <w:r>
        <w:t>B._______ enthält den Wirkstoff [...] und ist als Pulver und Lösungsmittel zur Herstellung einer Injektionslösung (raumtemperaturstabile Injektionslösung) erhältlich. Es gibt Durchstechflaschen mit Pulver à [...] mg (entspricht [...] KIU pro Durchstechflasche), [...] mg (entspricht [...] KIU pro Durchstechflasche), [...] mg (entspricht [...] KIU pro Durchstechflasche) und [...] mg (entspricht [...] KIU pro Durchstechflasche). B._______ ist indiziert zur Behandlung von E._______ oder bei Operationen von i._______ und nicht-i._______ Patienten, welche A.m.______ gegen die A.n._______ [...] oder [...] entwickelt haben, sowie bei Patienten mit angeborenem H._______ [...]-Mangel und bei Patienten mit U._______ mit A.m.________ gegen V.________ und/oder [...] und mit früherem oder aktuellem W._______. Für die Behandlung leichter bis mittelschwerer X._______- Y._______- und Aa.e._______ (einschliesslich Selbstbehandlung) hat sich eine frühzeitige Intervention als effizient herausgestellt. Basierend auf klinischen Daten können [...] Dosis-Regime empfohlen werden: - [...] bis [...] i.v. Injektionen von [...] µg pro kg KG verabreicht im 3-Stundenintervall. Falls eine Behandlung erforderlich ist, kann eine zusätzliche Dosis von [...] µg pro kg KG verabreicht werden. - Eine einzelne i.v. Injektion von [...] µg pro kg KG. Die Dauer der Selbstbehandlung sollte 24 Stunden nicht überschreiten. In einer klinischen Studie zeigte das Dosierungsschema von [...] µg pro kg KG im 3-Stundenintervall einen Trend für bessere Wirksamkeit gegenüber der Einmaleingabe von [...] µg pro kg KG.</w:t>
      </w:r>
    </w:p>
    <w:p>
      <w:r>
        <w:rPr>
          <w:b/>
        </w:rPr>
        <w:t>E. 7.2</w:t>
      </w:r>
    </w:p>
    <w:p>
      <w:r>
        <w:t>Das von der Vorinstanz in den TQV miteinbezogene Arzneimittel D._______ enthält den Wirkstoff Ab._______ (...). Es ist als Durchstechflaschen D._______ [...] E und [...] E erhältlich. [...] E Ab._______ ist in [...] - [...] mg humanem Plasma Protein enthalten. Das Präparat wird vor der Verabreichung in [...] ml Wasser für Injektionszwecke aufgelöst; pro mg Protein sind [...] bis [...] Ab._______-Einheiten enthalten. [...] E Ab._______ ist in [...] - [...] mg humanem Plasma Protein enthalten. Das Präparat wird vor der Verabreichung in [...] ml Wasser für Injektionszwecke aufgelöst; pro mg Protein sind [...] bis [...] Ab._______-Einheiten enthalten. Gemäss Fachinformation ist es für folgende Indikationen zugelassen: Therapie und Prophylaxe von E._______ bei I._______ [...]-Patienten mit H._______ [...]-Inhibitor, Therapie und Prophylaxe von E._______ bei I._______ [...]-Patienten mit H._______ [...]-Inhibitor und bei schweren E._______ kann D._______ auch zur Behandlung von nicht i._______ Patienten mit erworbenen Inhibitoren gegen die H._______[...], [...] oder [...] eingesetzt werden. Bei leichten bis mittelschweren X._______-, Y._______- und Z._______e._______ sollte eine Dosis von [...] E/kg KG alle 12 Stunden verabreicht werden. Die Behandlung sollte bis zum Eintreten einer eindeutigen Besserung der klinischen Symptome, wie Nachlassen der Schmerzen, Abnahme der Schwellung oder Mobilisierung des X._______, fortgesetzt werden. Einzeldosen von [...] E/kg KG und Tagesdosen von [...] E/kg KG sollten nicht überschritten werden, es sei denn, die Anwendung von höheren Dosen ist durch die Schwere der E._______ erforderlich und gerechtfertigt.</w:t>
      </w:r>
    </w:p>
    <w:p>
      <w:r>
        <w:rPr>
          <w:b/>
        </w:rPr>
        <w:t>E. 7.3</w:t>
      </w:r>
    </w:p>
    <w:p>
      <w:r>
        <w:t>Aus der Übersicht der Arzneimittel geht hervor, dass sowohl B._______ als auch das im TQV berücksichtigte Arzneimittel D._______ zur Behandlung von leichten bis mittelschweren E._______ bei F._______ mit H._______ [...] oder [...]-Inhibitoren indiziert sind. Die Vorinstanz und die Beschwerdeführerin einigten sich darauf, den TQV von B._______ auf Heimbehandlungen bei leichten bis mittelschweren E._______ zu limitieren (vgl. Bst. B.c).</w:t>
      </w:r>
    </w:p>
    <w:p>
      <w:r>
        <w:rPr>
          <w:b/>
        </w:rPr>
        <w:t>E. 8</w:t>
      </w:r>
    </w:p>
    <w:p>
      <w:r>
        <w:t>Nachfolgend ist zu prüfen, ob der TQV auf sachgerechte Weise ermittelt worden ist.</w:t>
      </w:r>
    </w:p>
    <w:p>
      <w:r>
        <w:rPr>
          <w:b/>
        </w:rPr>
        <w:t>E. 8.1</w:t>
      </w:r>
    </w:p>
    <w:p>
      <w:r>
        <w:t>Das Bundesverwaltungsgericht hat im Zusammenhang mit der Überprüfung des TQV (unter dem Geltungsbereich der damals geltenden Regelung von aArt. 34 Abs. 2 Bst. b und c KLV) festgehalten, dass der TQV dazu diene, eine vergleichende Wertung respektive die (indirekte) Prüfung des Kosten-Nutzen-Verhältnisses vorzunehmen, und zwar sowohl bei der Aufnahme als auch während der gesamten Verweildauer.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Bei einem Verzicht auf den TQV (und der damit einhergehenden Kosten-Nutzen-Analyse) blieben bei der dreijährlichen Überprüfung nach aArt. 65d Abs. 1bis KVV allfällige Veränderungen in der SL, namentlich in Form von neuen, eventuell erheblich wirksameren Arzneimitteln oder von neuen Studien über die Wirkung des zu überprüfenden Arzneimittels, in der Regel gänzlich unbeachtet. Soweit ein nomineller TQV nicht wirklich vorgenommen werde, handle es sich dabei nicht um einen rechtskonformen TQV. Er könne damit nicht rechtmässige Basis für eine Preissenkung sein (Urteile des BVGer C-595/2015 vom 19. Juni 2018 E. 8.1 und C-536/2015, C-537/2015 vom 6. Juni 2017 E. 10.5.3). Im Zusammenhang mit der Überprüfung eines TQV führte das Bundesverwaltungsgericht im zitierten Urteil C-595/2015 überdies aus, beim vom BAG durchgeführten TQV handle es sich um einen reinen Gewichtsvergleich, welcher den aus den Fachinformationen hervorgehenden unterschiedlichen Dosierungsvorschriften der in den TQV einbezogenen Arzneimittel - sofern genügend präzise formuliert - nicht Rechnung trage. Das BAG habe sich an den behördlich genehmigten Texten der Fachinformationen sowie an den von der Zulassungsinhaberin vorgelegten Daten zum Präparat zu orientieren. Sofern die WZW-Kriterien erfüllt seien, dürften die Arzneimittel nur (aber immerhin) in den Grenzen der von Swissmedic zu-gelassenen Indikationen und Anwendungsvorschriften in die Spezialitätenliste aufgenommen werden (Urteil C-595/2015 E. 8.2). Sofern sich den Fachinformationen genaue Dosierungsvorschriften entnehmen liessen, anhand derer sich die durchschnittlichen Tagestherapiekosten berechnen liessen, bestehe entgegen der Ansicht des BAG kein Raum für eine «praxisnahe Annahme» der durchschnittlichen Tagestherapiekosten. Denn ein TQV, welcher den unterschiedlichen Anwendungsvorschriften gemäss Fachinformation nicht Rechnung trage, bilde die aus den verschiedenen (vom Institut geprüften und genehmigten) Dosierungsangaben entsprechend den unterschiedlichen Kosten pro Tag oder Kur der jeweiligen Arzneimittel nicht richtig ab (Urteil C-595/2015 E. 8.3 mit Hinweis auf das Urteil C-536/2015, C-537/2015 E. 10.6.3). Hinsichtlich derjenigen Arzneimittel, für welche in den Fachinformationen keine genauen Dosierungsvorschriften vorhanden seien, könne die Bestimmung der Tagesdosis in der Regel lediglich approximativ erfolgen. Allerdings habe die Bestimmung der Tagesdosen im Rahmen der Untersuchungspflicht auf sachgerechte und nachvollziehbare Weise zu erfolgen (Urteil C-595/2015 E. 8.4, Urteil des BVGer C-452/2018 vom 22. Juli 2020 E. 6.4.3).</w:t>
      </w:r>
    </w:p>
    <w:p>
      <w:r>
        <w:rPr>
          <w:b/>
        </w:rPr>
        <w:t>E. 8.2</w:t>
      </w:r>
    </w:p>
    <w:p>
      <w:r>
        <w:t>Der Fachinformation lässt sich bezüglich B._______ genaue Dosierungsvorschriften entnehmen (vgl. E. 7.1). Gestützt darauf berechnete die Vorinstanz korrekt den Durchschnitt der beiden alternativen Dosierungsangaben für einen [...] kg schweren Patienten und eine Therapie von 24 Stunden wie folgt: [([...] Injektionen x [...] µg x [...] kg KG) + ([...] µg x [...] kg)] / 2 = [...] µg. Dabei verzichtete sie darauf, eine zusätzliche Dosierung von [...] µg kg pro KG B._______ zu berücksichtigen (vgl. Bst. B.g). Aufgrund des FAP's von 1 Stk Fertigspritze à [...] mg (= [...] µg) von Fr. [...] resultieren bei einer benötigten Menge von [...] µg TTK von Fr. [...].</w:t>
      </w:r>
    </w:p>
    <w:p>
      <w:r>
        <w:rPr>
          <w:b/>
        </w:rPr>
        <w:t>E. 8.3</w:t>
      </w:r>
    </w:p>
    <w:p>
      <w:r>
        <w:t>Hinsichtlich des im TQV berücksichtigten Arzneimittels D._______ geht zwar die Applikationsmenge mit der Angabe von [...] - [...] E/kg KG aus den Fachinformationen hervor (vgl. E. 7.2). Bezüglich der Applikationshäufigkeit sind der Fachinformation allerdings keine klaren Angaben zu entnehmen, indem von einer Anwendung alle 12 Stunden bis zum Eintreten einer eindeutigen Besserung der klinischen Symptome, wie Nachlassen der Schmerzen, Abnahme der Schwellung oder Mobilisierung des X._______, die Rede ist.</w:t>
      </w:r>
    </w:p>
    <w:p>
      <w:r>
        <w:rPr>
          <w:b/>
        </w:rPr>
        <w:t>E. 8.4</w:t>
      </w:r>
    </w:p>
    <w:p>
      <w:r>
        <w:t>Wenn die Applikationshäufigkeit in den Fachinformationen nicht genau umschrieben wird, ist diese auf andere sachgerechte und nachvollziehbare Weise zu ermitteln. Dass unter diesen Umständen auf die in klinischen Studien eingesetzte Anwendungshäufigkeit abgestellt wird, erscheint grundsätzlich nicht ausgeschlossen (vgl. Urteil des BVGer C-3805/2018 vom 12. November 2020 E. 5.5.2). Gestützt auf die Studien R._______, A.c._______, A.d._______, A.i._______ und Q._______ (vgl. E. 8.6.2.4 ff.) verwendete die Vorinstanz in ihrer Berechnung eine Applikationshäufigkeit von [...] Dosierungen D._______ und berechnete die durchschnittlichen TTK für einen [...] kg schweren Patienten und eine Therapie von 24 Stunden wie folgt: [...] E. x [...] kg KG x 2 = [...] E.. Aufgrund des FAP's von 1 Durchstechflasche à [...] E. von Fr. [...]resultieren dabei TTK von Fr. [...].</w:t>
      </w:r>
    </w:p>
    <w:p>
      <w:r>
        <w:rPr>
          <w:b/>
        </w:rPr>
        <w:t>E. 8.5</w:t>
      </w:r>
    </w:p>
    <w:p>
      <w:r>
        <w:t>Tabellarisch dargestellt sieht der von der Vorinstanz berechnete TQV wie folgt aus (vgl. act. 1 1. Rückmeldung des BAG zur Eingabe vom 14.02.2018 S. 2): Arzneimittel Anzahl Fertigspritzen pro Packung H._____ [...] (ug)/Fertigspr. FAP Vergleichsdosis H._____ [...] (ug) FAP / Vergleichsdosis (TTK) in Fr. B._______ 1 [...] [...] [...] [...]1) TQV-Arzneimittel Anzahl Durchstechfl. pro Packung H.______ [...] (E.)/ Durchstechfl. FAP Vergleichsdosis H._____ [...] (E.) FAP / Vergleichsdosis (TTK) in Fr. D._______ 1 [...] [...] [...] [...]2) TQV-Niveau 1 [...] [...] [...] [...]3) 1) Durchschnitt der beiden alternativen Dosierungsangaben: [([...] Injekt. x [...] ug x [...] kg KG) + ([...] ug x [...] kg KG)] / 2 = [...] ug / [...] ug x Fr. [...] = Fr. [...] 2) [...] E. x [...] kg KG x 2 = [...] E. / [...] E. x Fr. [...] = Fr. [...] 3) TQV-Niveau in %: Fr. [...] - [...]Fr. = Fr. - [...] / Fr. [...] = - [...]%</w:t>
      </w:r>
    </w:p>
    <w:p>
      <w:r>
        <w:rPr>
          <w:b/>
        </w:rPr>
        <w:t>E. 8.6</w:t>
      </w:r>
    </w:p>
    <w:p>
      <w:r>
        <w:t>Vorliegend ist jedoch umstritten, ob der Einbezug von lediglich [...] Dosen D._______ im TQV von B.________ sachgerecht ist und mithin die Kosten der Arzneimittel pro Tag (TTK), wie von der Vorinstanz vorgenommen, oder pro Kur, bis zum Erreichen einer Wirksamkeit (J._______), wie von der Beschwerdeführerin vorgebracht, zu vergleichen sind.</w:t>
      </w:r>
    </w:p>
    <w:p>
      <w:r>
        <w:rPr>
          <w:b/>
        </w:rPr>
        <w:t>E. 8.6.1</w:t>
      </w:r>
    </w:p>
    <w:p>
      <w:r>
        <w:t>Gemäss Art. 65b Abs. 4bis Bst. b KVV wird im TQV zwischen Kosten pro Tag und Kurkosten unterschieden (vgl. E. 4.4.3). Auch im SL-Handbuch wird zwischen Behandlungskosten je Tag oder Kur unterschieden (vgl. Ziff. C. 2.1.3). Dieselbe Regelung findet sich in den Faktenblättern der Vor-instanz vom 22. Dezember 2017 (BVGer-act. 1 Beilage 27) und vom 1. Februar 2017 (BVGer-act. 1 Beilage 28). In einem Schreiben vom 6. Dezember 2018 betreffend Umsetzung der Überprüfung der Aufnahmebedingungen alle drei Jahre im Jahr 2019 (vgl. BVGer-act. 1 Beilage 26 S. 6) hielt die Vorinstanz fest, ein TQV nach Tages-, Monats- oder Jahrestherapiekosten erfolge, wenn es sich um eine Dauertherapie handle oder wenn die zu vergleichenden Therapien gleich lang eingesetzt würden. Bei unterschiedlichen Therapiedauern, die zu einer vergleichbaren Wirksamkeit führten, würden die Kurkosten berücksichtigt.</w:t>
      </w:r>
    </w:p>
    <w:p>
      <w:r>
        <w:rPr>
          <w:b/>
        </w:rPr>
        <w:t>E. 8.6.2</w:t>
      </w:r>
    </w:p>
    <w:p>
      <w:r>
        <w:t>Nachfolgend ist demzufolge abzuklären, ob B._______ und D._______ gleich lang eingesetzt werden, oder die Therapiedauer, welche zu einer vergleichbaren Wirksamkeit führt, unterschiedlich lang ist. Dabei ist auf die von der Vorinstanz konsultierten und auf die von der Beschwerdeführerin ins Recht gelegten Studien einzugehen. Ferner wurden Leitlinien beigezogen (vgl. Urteil des BVGer C-6517/2018 vom 20. Oktober 2020 E. 6.6.4).</w:t>
      </w:r>
    </w:p>
    <w:p>
      <w:r>
        <w:rPr>
          <w:b/>
        </w:rPr>
        <w:t>E. 8.6.2.1</w:t>
      </w:r>
    </w:p>
    <w:p>
      <w:r>
        <w:t>Zunächst ist festzuhalten, dass entgegen der Ansicht der Vor- instanz (vgl. Bst. B.e) vorliegend auch pharmakoökonomische Studien zu berücksichtigen sind. So verlangt das SL-Handbuch (vgl. Ziff. B. 1.3.1 l), dass solche Studien bei einem Neuaufnahmegesuch eines Arzneimittels eingereicht werden und auch im Fall der periodischen Überprüfung der Aufnahmebedingungen Wirksamkeit, Zweckmässigkeit und Wirtschaftlichkeit berücksichtigt werden (vgl. Evaluation der Zulassung und Überprüfung von Medikamenten in der obligatorischen Krankenpflegeversicherung, Materialien zum Bericht der Parlamentarischen Verwaltungskontrolle zuhanden der Geschäftsprüfungskommission des Ständerates vom 13. Juni 2013 S. 175 und 208, &lt; https://www.parlament.ch/centers/documents/de/matx-medikamente-total-d.pdf &gt;, besucht am 15.01.2021). Zudem hat die Vor-instanz in ihrer Vernehmlassung denn auch ausgeführt, es spiele keine Rolle, ob diese Studien als pharmakoökonomische Studien bezeichnet würden (vgl. E. 6.2).</w:t>
      </w:r>
    </w:p>
    <w:p>
      <w:r>
        <w:rPr>
          <w:b/>
        </w:rPr>
        <w:t>E. 8.6.2.2</w:t>
      </w:r>
    </w:p>
    <w:p>
      <w:r>
        <w:t>Gemäss der Leitlinie "A.e._______" (&lt; http[...] , abgerufen am 15.01.2021) wird zur Behandlung akuter E._______ eine Einzeldosis B._______ von [...] µg/kg KG alle 2 - 4 Stunden bis zum Stillstand der E._______ empfohlen. Bei milden bis moderaten E._______ kann eine initiale Einzeldosis von [...] verabreicht werden. Die empfohlene Einzeldosis für D._______ beträgt [...] - [...] IE/kg KG in 8 - 12-stündlichen Intervallen nach einer präoperativen Dosis von [...] - [...] IE/kg KG. Eine Tagesdosis von [...] IE/kg KG soll wegen einer Risikoerhöhung für Thrombosen und Myokardinfarkte nicht überschritten werden. Bezüglich der Applikationshäufigkeit von D._______ sind dieser Leitlinie keine klaren Angaben zu entnehmen.</w:t>
      </w:r>
    </w:p>
    <w:p>
      <w:r>
        <w:rPr>
          <w:b/>
        </w:rPr>
        <w:t>E. 8.6.2.3</w:t>
      </w:r>
    </w:p>
    <w:p>
      <w:r>
        <w:t>Den Querschnitts-Leitlinien [...], herausgegeben vom Vorstand der Bundesärztekammer auf Empfehlung des Wissenschaftlichen Beirats, Ziff. [...] "Behandlung der akuten E._______" ( https[...] , abgerufen am 15.01.2021) lässt sich Folgendes entnehmen: Zur Behandlung der akuten E._______ soll aktiviertes A.e. (D._______) als Initialdosis bis [...] E/kg KG und eine Erhaltungsdosis bis [...] E/kg KG [...]mal täglich verabreicht werden. Alternativ soll rekombinanter H._______ [...] (B._______), mittlere initiale Dosis [...] µg/kg KG als Einzelgabe angewendet werden. Auch diese Leitlinie enthält keine Angaben zur Applikationshäufigkeit von D._______.</w:t>
      </w:r>
    </w:p>
    <w:p>
      <w:r>
        <w:rPr>
          <w:b/>
        </w:rPr>
        <w:t>E. 8.6.2.4</w:t>
      </w:r>
    </w:p>
    <w:p>
      <w:r>
        <w:t>In der Studie "[...]" (nachfolgend: S._______) von R._______ von 2007 (vgl. BVGer-act. 10 Beilage 2 S. 547) wurden die Teilnehmer entweder mit einer Dosis D._______ ([...] - [...] IU/kg KG, Zieldosis: [...] IU/kg KG) oder mit [...] Dosen B._______ ([...] - [...] µg/kg KG, Zieldosis: 2 x [...] µg/kg KG) behandelt. Wie die Beschwerdeführerin zu Recht vorbrachte und die Vorinstanz bejahte (vgl. Bst. B.g), entsprechen diese Dosierungen nicht den Dosierungen, welche gemäss Fachinformation zur Heimbehandlung empfohlen werden (D._______ : [...] - [...] E/kg,B._______ : [...] µg; vgl. E. 7). Zudem wurde die Studie von A.f._______, dem Hersteller von D._______, unterstützt (vgl. S. 550) und kann deshalb nicht als wissenschaftlich objektiv betrachtet werden.</w:t>
      </w:r>
    </w:p>
    <w:p>
      <w:r>
        <w:rPr>
          <w:b/>
        </w:rPr>
        <w:t>E. 8.6.2.5</w:t>
      </w:r>
    </w:p>
    <w:p>
      <w:r>
        <w:t>Eine Analyse von A.c._______, R._______, publiziert im Jahr 2008 (vgl. BVGer-act. 10 Beilage 4) kam zum Schluss, dass die Kosten einer Behandlung mit B._______ (...) höher seien als eine solche mit D._______ (...). Diese Analyse basiert jedoch auf der S._______-Studie und kann somit auch nicht als unparteiisch erachtet werden.</w:t>
      </w:r>
    </w:p>
    <w:p>
      <w:r>
        <w:rPr>
          <w:b/>
        </w:rPr>
        <w:t>E. 8.6.2.6</w:t>
      </w:r>
    </w:p>
    <w:p>
      <w:r>
        <w:t>In der Studie "[...]" von A.d._______ von 2011 (vgl. BVGer-act. 10 Beilage 5) wurde auf Untersuchungen der "Agency for Healthcare Research and Quality" und des "U.S. Centers for Medicare and Medicaid Service" Bezug genommen. Entsprechend den generellen Empfehlungen betrug die Dosierung von D._______ (...) täglich [...] - [...] IU kg-1 KG bis zu [...] IU kg-1 KG und diejenige von B._______ (...) [...] µg/kg-1 alle 2 - 3 Stunden. In der "first-line" Behandlung wurde angenommen, dass die Dosierung von D._______ täglich [...]mal [...] IU kg-1 und diejenige von B.________ [...]mal [...] µg/kg-1 betrug (vgl. S. 971). Eine Behandlung zu Hause wurde mit der "first-line" und der "second-line" Behandlung durchgeführt. Die Wirksamkeit beider Arzneimittel betrug nach der "first-line" Behandlung 85 %. Da jedoch die Dosishäufigkeit in der "first-line" Therapie auf blossen Annahmen beruht, kann auf diese Studie nicht abgestellt werden.</w:t>
      </w:r>
    </w:p>
    <w:p>
      <w:r>
        <w:rPr>
          <w:b/>
        </w:rPr>
        <w:t>E. 8.6.2.7</w:t>
      </w:r>
    </w:p>
    <w:p>
      <w:r>
        <w:t>In der Analyse "[...]" von A.i._______ vom 28. Februar 2015 (BVGer-act. 10 Beilage 6) wurden prophylaktische Behandlungen mit D._______ (...) gegenüber Behandlungen bei akuten E._______ mit B._______ (...) verglichen (vgl. S. 322). Da im vorliegenden TQV jedoch einzig akute E._______ miteinander verglichen werden, findet diese Studie keine Anwendung.</w:t>
      </w:r>
    </w:p>
    <w:p>
      <w:r>
        <w:rPr>
          <w:b/>
        </w:rPr>
        <w:t>E. 8.6.2.8</w:t>
      </w:r>
    </w:p>
    <w:p>
      <w:r>
        <w:t>In der Studie "[...]" von Q._______ von November 2015 (vgl. BVGer-act. 1 Beilage 22) wurde die Kosteneffektivität von P.________, einem Biosimilar von B._______, gegenüber D._______ untersucht. Es wurde festgehalten, dass beide Arzneimittel in der "first line" Behandlung angewendet werden könnten. P._______ war mit einem Therapieerfolg von 72% allerdings kosteneffektiver als D._______ mit einem Therapieerfolg von 89%. An der Studie haben 20 Personen teilgenommen. Die Dosierungen in dieser Studie waren für P._______ folgende (vgl. S. 670): Alle Patienten erhielten zu Beginn [...] - [...] µg/kg KG (Stunde 0); [...] µg/kg KG war die durchschnittliche Dosis. Alle drei Stunden wurde die Behandlung überprüft. Nach [...] gescheiterten Behandlungen mit [...] µg/kg KG wurde eine Dosis von [...] µg/kg KG (Stunde 6) verwendet. Wenn drei Stunden nach einer weiteren Behandlung mit [...] µg/kg KG (Stunde 12) keine Verbesserung eintraf, galt die Therapie als gescheitert. Somit galt, entgegen der Annahme der Vorinstanz, nicht bereits eine nach sechs Stunden nicht gestillte E._______ als Therapieversagen, sondern erst eine solche nach weiteren zwei Behandlungen mit der höheren Dosis von [...] µg/kg KG. Die Dosierungen für D._______ waren folgende: Zu Beginn erhielten alle Patienten [...] - [...] U/kg KG. Wenn ein Nachlassen der E._______ ersichtlich war, wurden nach neun Stunden weitere [...] - [...] U/kg KG appliziert. Wenn danach keine M._______ eintrat, galt die Behandlung als gescheitert. Auch die Dosierungen dieser Studie entsprechen nicht den Angaben in der Fachinformation. Ferner basiert die Studie auf der S._______-Studie, welche von A.f._______, dem Hersteller von D._______, unterstützt wurde. Überdies ist P.________ in der Schweiz nicht im Handel. Auf diese Studie kann somit nicht abgestellt werden.</w:t>
      </w:r>
    </w:p>
    <w:p>
      <w:r>
        <w:rPr>
          <w:b/>
        </w:rPr>
        <w:t>E. 8.6.2.9</w:t>
      </w:r>
    </w:p>
    <w:p>
      <w:r>
        <w:t>Der Expertenmeinung vom 13. Juli 2018 kann u.a. entnommen werden (vgl. BVGer-act. 14 Beilage 1), dass D._______ an vielen Zentren in der Schweiz nicht vorhanden sei. B._______ hingegen sei heute praktisch auf allen Notfallstationen vorhanden. Bei der Behandlung der erworbenen I._______ (...) seien beide Therapien effektiv. Wegen des rascheren Wirkungseintritts bzw. M._______ werde in der Schweiz meist B._______ bevorzugt. Dieser Expertenmeinung können keine Angaben zur Dauer der Behandlungen entnommen werden.</w:t>
      </w:r>
    </w:p>
    <w:p>
      <w:r>
        <w:rPr>
          <w:b/>
        </w:rPr>
        <w:t>E. 8.6.2.10</w:t>
      </w:r>
    </w:p>
    <w:p>
      <w:r>
        <w:t>Die pharmakoökonomische Studie "[...]" von L._______ von 2002 wurde mittels Interview von 22 A.j._______ des Vereinigten Königsreichs durchgeführt und von der Beschwerdeführerin finanziell unterstützt (BVGer-act. 1 Beilage 13, vgl. S. 121 und 132). Es kann ihr entnommen werden (vgl. S. 123 f.), dass eine E._______ nach durchschnittlich [...] Dosen D._______ à [...] Units/kg KG lediglich in 79 % der Fälle unter Kontrolle gebracht wurde. 21 % der Fälle benötigten eine weitere Behandlung in einem "[...]" (...). Bei einer Behandlung mit [...] Injektionen B._______ à [...] µg/kg KG waren 92 % aller E._______ unter Kontrolle. Die restlichen 8 % der E._______ wurden in einem "Comprehensive Care Centre" (CCC) behandelt. Die Autoren der Studie kamen zum Schluss, dass die Behandlungskosten zu Hause mit B._______ günstiger seien als mit D._______ (vgl. S. 126 f.). Auch diese Studie kann aufgrund der finanziellen Unterstützung der Studie durch die Beschwerdeführerin nicht als wissenschaftlich objektiv betrachtet werden.</w:t>
      </w:r>
    </w:p>
    <w:p>
      <w:r>
        <w:rPr>
          <w:b/>
        </w:rPr>
        <w:t>E. 8.6.2.11</w:t>
      </w:r>
    </w:p>
    <w:p>
      <w:r>
        <w:t>Die Studie "[...]" von O._______ von 1990 (BVGer-act. 1 Beilage 17) wurde von der A.k. der Zulassungsinhaberin von D._______, unterstützt (vgl. Studie S. [...] und https[...] ). In der Studie wurde festgehalten (vgl. S. [...]), dass mit D._______ bei einer Dosierung von [...] E/kg KG und einer [...]maliger Applikation im 12-Stundenintervall 78 % aller E._______ in X._______-, Y._______ und Z._______ nach 36 Stunden unter Kontrolle gebracht wurden. Bei weiteren 10 % der Patienten trat der Therapieerfolg später als nach 36 Stunden ein. Auch diese Studie ist aufgrund der finanziellen Unterstützung der Zulassungsinhaberin A.k._______ nur beschränkt aussagekräftig.</w:t>
      </w:r>
    </w:p>
    <w:p>
      <w:r>
        <w:rPr>
          <w:b/>
        </w:rPr>
        <w:t>E. 8.6.2.12</w:t>
      </w:r>
    </w:p>
    <w:p>
      <w:r>
        <w:t>Einer weiteren pharmakoökonomischen Studie von K._______ der Universität A.g._______ von 2003 (vgl. BVGer-act. 1 Beilage 12: "[...]" S. 527) kann entnommen werden, dass bei einer Behandlung zu Hause ("first-line") nach durchschnittlich [...] Injektionen B._______ à [...] µg/kg KG 92 % aller E.______ gestoppt wurden. Nach [...] Applikationen D._______ à [...] IU/kg KG lag die Erfolgsrate hingegen lediglich bei 79 % (vgl. S. 530). Die Autoren der Studie kamen zum Schluss, dass eine First-Line-Therapie mit B._______ kostengünstiger sei als eine Therapie mit D._______ (vgl. S. 521 und S. 529 ff.). Diese Studie ist zwar breit abgestützt auf diverse Quellen verschiedenster Länder (Grossbritannien, USA, Australien, Kanada und Frankreich; vgl. S. 522 f.), bezieht sich jedoch auch auf die Studien L._______ (vgl. S. 523; E. 8.6.1.10), und O._______ (vgl. S. 527; E. 8.6.2.11) und kann deshalb ebenso wenig als wissenschaftlich objektiv betrachtet werden.</w:t>
      </w:r>
    </w:p>
    <w:p>
      <w:r>
        <w:rPr>
          <w:b/>
        </w:rPr>
        <w:t>E. 8.6.2.13</w:t>
      </w:r>
    </w:p>
    <w:p>
      <w:r>
        <w:t>Die amerikanische Studie "[...]" von T._______ vom 28. August 1998 (vgl. BVGer-act. 1 Beilage 8) wurde von 16 "A.h._______ Centers" der USA begleitet und dauerte ein Jahr (vgl. S. 912 f.). Es kann ihr entnommen werden, dass durchschnittlich [...] Injektionen à [...] µg / kg KG B._______ in einem 3-Stunden-Intervall benötigt wurden, um innerhalb von 24 Stunden in 92% der Fälle eine E._______ zu stillen (vgl. S. 912 f. und 915). Diese Studie enthält keine Angaben zu einer Behandlung mit D._______.</w:t>
      </w:r>
    </w:p>
    <w:p>
      <w:r>
        <w:rPr>
          <w:b/>
        </w:rPr>
        <w:t>E. 8.6.2.14</w:t>
      </w:r>
    </w:p>
    <w:p>
      <w:r>
        <w:t>Die von der Vorinstanz gestützt auf die Studien S._______, A.c._______, R._______, A.d._______, A.i._______ und Q._______ (vgl. E. 8.6.2.4 ff.) festgelegte Applikationshäufigkeit von [...] Dosierungen D._______ täglich erweist sich für das Bundesverwaltungsgericht als nicht genügend nachvollziehbar, da diese Studien allesamt nicht als wissenschaftlich objektiv betrachtet werden können. Auch die Expertenmeinung bringt für den vorliegenden Fall keine wichtigen Erkenntnisse (vgl. E. 8.6.2.9). Ferner kann auch auf die Studien von L._______, O._______, K._______ und K._______, auf welche sich die Beschwerdeführerin beruft, nicht abgestellt werden (vgl. E. 8.6.2.10 ff.). Die durchschnittliche Therapiedauer mit D._______ konnte somit nicht ermittelt werden. Eine dritte Dosierung von D._______ kann jedoch, wie die Beschwerdeführerin zu Recht vorgebracht hat, zur Stunde 24 verabreicht werden (1. Dosierung zur Stunde 0, 2. Dosierung zur Stunde 12 und 3. Dosierung zur Stunde 24).</w:t>
      </w:r>
    </w:p>
    <w:p>
      <w:r>
        <w:rPr>
          <w:b/>
        </w:rPr>
        <w:t>E. 8.7</w:t>
      </w:r>
    </w:p>
    <w:p>
      <w:r>
        <w:t>Die Berechnung einer allfälligen Preissenkung sieht demnach wie folgt aus:</w:t>
      </w:r>
    </w:p>
    <w:p>
      <w:r>
        <w:rPr>
          <w:b/>
        </w:rPr>
        <w:t>E. 8.7.1</w:t>
      </w:r>
    </w:p>
    <w:p>
      <w:r>
        <w:t>Der APV wird auf der Basis der umsatzstärksten Packung berechnet. Er ist vorliegend nicht umstritten, womit als umsatzstärkste Packung diejenige von B._______ [...] anzunehmen und von einem APV von - [...] % auszugehen ist. Dies entspricht einem durchschnittlichen ausländischen Fabrikabgabepreis von Fr. [...] (vgl. act. 1, S.8).</w:t>
      </w:r>
    </w:p>
    <w:p>
      <w:r>
        <w:rPr>
          <w:b/>
        </w:rPr>
        <w:t>E. 8.7.2</w:t>
      </w:r>
    </w:p>
    <w:p>
      <w:r>
        <w:t>Die Berechnung des TQV erfolgt auf der Basis der kleinsten Packung. Für B._______ kann die korrekte Berechnung der Vorinstanz übernommen werden (vgl. E. 8.2 und 8.5). Bei D.________ geht das Bundesverwaltungsgericht basierend auf der mittleren Dosis gemäss Fachinformation von [...] IU/kg KG (vgl. E. 7.2) und einer Applikation von [...] Dosierungen von einer mittleren Erhaltungsdosis von [...] E. aus. Dies führt zu einem TQV-Niveau der kleinsten Packung B._______ von plus [...] %: Arzneimittel Anzahl Fertigspritzen pro Packung H._____ [...] (ug)/Fertigspr. FAP Vergleichsdosis H.______ [...] (ug) FAP / Vergleichsdosis (TTK) in Fr. B._______ 1 [...] [...] [...] [...]1) TQV-Arzneimittel Anzahl Durchstechfl. pro Packung H._____ [...] (E.)/ Durchstechfl. FAP Vergleichsdosis H._____ [...] (E.) FAP / Vergleichsdosis (TTK) in Fr. D._______ 1 [...] [...] [...] [...]2) TQV-Niveau 1 [...] [...] [...]3) 1) Durchschnitt der beiden alternativen Dosierungsangaben: [([...] Injekt. x [...] ug x [...] kg KG) + ([...] ug x [...] kg KG)] / 2 = [...] ug / [...] ug x Fr. [...] = Fr. [...] 2) [...] E. x [...] kg KG x 3 = [...] E. / [...] E. x Fr. [...] = Fr. [...] 3) TQV-Niveau in %: Fr. [...] - Fr. [...] = Fr. [...] / Fr. [...] = [...] % Der TQV ist auch dann zu berücksichtigen, wenn er wie vorliegend über dem Auslandpreisniveau liegt (vgl. Urteil des BVGer C-6243/2014 vom 2. Mai 2017 E. 7 m.w.H.). Selbst mit der von der Beschwerdeführerin vorgebrachten tieferen mittleren Dosis D._______ von [...] IU/kg KG wäre das TQV-Niveau mit [...] % positiv ([...] E. x [...] kg KG x 3 = [...] E. / [...] E. x Fr. [...] = Fr. [...]; TQV-Niveau in %: Fr. [...] - Fr. [...] = Fr. [...] / Fr. [...] = [...] %).</w:t>
      </w:r>
    </w:p>
    <w:p>
      <w:r>
        <w:rPr>
          <w:b/>
        </w:rPr>
        <w:t>E. 8.7.3</w:t>
      </w:r>
    </w:p>
    <w:p>
      <w:r>
        <w:t>Für die Berechnung des FAP neu sind nun der APV und der TQV hälftig zu gewichten: ([...] % - [...] %) : 2 = [...] %. Der Senkungssatz ist somit positiv. Da Preiserhöhungen im Rahmen der Überprüfung nicht vorgesehen sind, erübrigt sich eine Neuberechnung der Publikumspreise (vgl. SL-Handbuch Ziff. E. 1.12).</w:t>
      </w:r>
    </w:p>
    <w:p>
      <w:r>
        <w:rPr>
          <w:b/>
        </w:rPr>
        <w:t>E. 8.7.4</w:t>
      </w:r>
    </w:p>
    <w:p>
      <w:r>
        <w:t>Da selbst ein Vergleich der Präparate innerhalb von 24 Stunden (TTK) zu Gunsten von B._______ ausfällt erübrigt es sich abschliessend abzuklären, ob in casu ein Vergleich pro Tag, wie von der Vorinstanz vorgenommen, oder pro Kur, bis zum Erreichen der Wirksamkeit (J._______), wie von der Beschwerdeführerin vorgebracht, vorzunehmen wäre. Ob eine bessere Wirksamkeit von B._______ im Vergleich zu D._______ besteht, kann auch offenbleiben. Die Beurteilung der Wirksamkeit muss sich gemäss Art. 65a KVV in jedem Fall auf klinisch kontrollierte Studien abstützen (Urteil des BVGer-519/2015 vom 11. April 2017 E. 10.4 m.w.H.). Unter klinisch kontrollierten Studien sind in der Regel in wissenschaftlichen Fachzeitschriften publizierte Doppelblindstudien zu verstehen (vgl. GEBHARD EUGSTER, in: Schweizerischen Bundesverwaltungsrecht, Soziale Sicherheit, 3. Aufl. 2016, Bd. XIV, S. 624 Rz. 707 m.H.). Solche sind vorliegend nicht vorhanden</w:t>
      </w:r>
    </w:p>
    <w:p>
      <w:r>
        <w:rPr>
          <w:b/>
        </w:rPr>
        <w:t>E. 9</w:t>
      </w:r>
    </w:p>
    <w:p>
      <w:r>
        <w:t>Zusammenfassend ergibt sich, dass nicht ermittelt werden konnte, wie lange eine durchschnittliche Therapie mit D._______ dauert. Jedoch führen bereits die korrekt berechneten TTK von D._______ zu einem positiven TQV-Niveau von B._______. Unter Einbezug des APV's von B._______ resultiert ein positiver Senkungssatz. Die angefochtene Verfügung vom 21. Januar 2019 beruht somit nicht auf einem rechtskonform durchgeführten TQV, weshalb die vom BAG verfügte Preissenkung zu Unrecht erfolgte. Die Beschwerde ist demnach gutzuheissen und die angefochtene Verfügung aufzuheben.</w:t>
      </w:r>
    </w:p>
    <w:p>
      <w:r>
        <w:rPr>
          <w:b/>
        </w:rPr>
        <w:t>E. 10</w:t>
      </w:r>
    </w:p>
    <w:p>
      <w:r>
        <w:t>Festzuhalten bleibt, dass das BAG einer allfälligen Beschwerde gegen seine Verfügung vom 21. Januar 2019 die aufschiebende Wirkung nicht entzogen hat, weshalb B._______ bis heute (provisorisch) auf dem bisherigen Preisniveau in der SL geführt wurde (vgl. www.spezialitätenliste.ch, zuletzt besucht am 15.01.2020). Das BAG ist mit dem vorliegenden Urteil gehalten, das bisherige Preisniveau in der SL zu belassen. Angesichts der Aufhebung der angefochtenen Preissenkungen entfällt eine Publikation im BAG Bulletin.</w:t>
      </w:r>
    </w:p>
    <w:p>
      <w:r>
        <w:rPr>
          <w:b/>
        </w:rPr>
        <w:t>E. 11</w:t>
      </w:r>
    </w:p>
    <w:p>
      <w:r>
        <w:t>Zu befinden bleibt noch über die Verfahrenskosten und eine allfällige Parteientschädigung.</w:t>
      </w:r>
    </w:p>
    <w:p>
      <w:r>
        <w:rPr>
          <w:b/>
        </w:rPr>
        <w:t>E. 11.1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zurückzuerstatten. Vorinstanzen werden keine Verfahrenskosten auferlegt (Art. 63 Abs. 2 VwVG).</w:t>
      </w:r>
    </w:p>
    <w:p>
      <w:r>
        <w:rPr>
          <w:b/>
        </w:rPr>
        <w:t>E. 11.2</w:t>
      </w:r>
    </w:p>
    <w:p>
      <w:r>
        <w:t>Der obsiegenden, anwaltlich vertretenen Beschwerdeführerin ist gemäss Art. 64 Abs. 1 VwVG in Verbindung mit Art. 7 des Reglements vom 21. Februar 2008 über die Kosten und Entschädigungen vor dem Bundesverwaltungsgericht (VGKE, SR 173.320.2) eine Entschädigung für die ihr erwachsenen notwendigen und verhältnismassig hohen Kosten zuzusprechen. Da keine Kostennote eingereicht wurde, ist die Entschädigung aufgrund der Akten festzusetzen (Art. 14 Abs. 2 Satz 2 VGKE). Vorliegend bestand der Aufwand der Beschwerdeführerin im Wesentlichen in der Erstellung der 32-seitigen Beschwerdeschrift vom 21. Februar 2019 (BVGer-act. 1), der 13-seitigen Replik vom 27. August 2019 (BVGer-act. 12) und der 6-seitigen Triplik vom 27. November 2019 (BVGer-act. 16). Unter Berücksichtigung des gebotenen und aktenkundigen Aufwands, der Bedeutung der Streitsache und der Schwierigkeit des vorliegend zu beurteilenden Verfahrens ist eine Parteientschädigung von Fr. 8'000.- (inkl. Auslagen; Art. 9 Abs. 1 in Verbindung mit Art. 10 Abs. 2 VGKE) zu Lasten der Vorinstanz angemessen. Die Vorinstanz hat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