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C-9029/2025 vom 31. März 2026</w:t>
      </w:r>
    </w:p>
    <w:p>
      <w:r>
        <w:t>Bundesverwaltungsgericht, 2026-03-31, FR</w:t>
      </w:r>
    </w:p>
    <w:p>
      <w:r>
        <w:rPr>
          <w:b/>
        </w:rPr>
        <w:t xml:space="preserve">Quelle: </w:t>
      </w:r>
      <w:r>
        <w:t>https://mcp.opencaselaw.ch/entscheid/bvger_C-9029_2025</w:t>
      </w:r>
    </w:p>
    <w:p>
      <w:r>
        <w:t>FR: TAF C-9029/2025 du 31 mars 2026</w:t>
      </w:r>
    </w:p>
    <w:p>
      <w:r>
        <w:t>IT: TAF C-9029/2025 del 31 marzo 2026</w:t>
      </w:r>
    </w:p>
    <w:p>
      <w:pPr>
        <w:pStyle w:val="Heading2"/>
      </w:pPr>
      <w:r>
        <w:t>Regeste</w:t>
      </w:r>
    </w:p>
    <w:p>
      <w:r>
        <w:t>Droit à la rente</w:t>
      </w:r>
    </w:p>
    <w:p>
      <w:pPr>
        <w:pStyle w:val="Heading2"/>
      </w:pPr>
      <w:r>
        <w:t>Erwägungen</w:t>
      </w:r>
    </w:p>
    <w:p>
      <w:r>
        <w:rPr>
          <w:b/>
        </w:rPr>
        <w:t>E. 1</w:t>
      </w:r>
    </w:p>
    <w:p>
      <w:r>
        <w:t>Il est pris acte du retrait du recours et l'affaire C-9029/2025 est radiée du rôle.</w:t>
      </w:r>
    </w:p>
    <w:p>
      <w:r>
        <w:rPr>
          <w:b/>
        </w:rPr>
        <w:t>E. 2</w:t>
      </w:r>
    </w:p>
    <w:p>
      <w:r>
        <w:t>Il n'est pas perçu de frais de procédure, ni alloué de dépens.</w:t>
      </w:r>
    </w:p>
    <w:p>
      <w:r>
        <w:rPr>
          <w:b/>
        </w:rPr>
        <w:t>E. 3</w:t>
      </w:r>
    </w:p>
    <w:p>
      <w:r>
        <w:t>La présente décision est adressée à la recourante, à l'autorité inférieure et à l'OFAS. La juge unique : Le greffier : Caroline Gehring Adrien Lacour Indication des voies de droit : La présente décision peut être attaquée devant le Tribunal fédéral, Schweizerhofquai 6, 6004 Lucerne,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