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C-899/2012 vom 16. April 2013</w:t>
      </w:r>
    </w:p>
    <w:p>
      <w:r>
        <w:t>Bundesverwaltungsgericht, 2013-04-16, DE</w:t>
      </w:r>
    </w:p>
    <w:p>
      <w:r>
        <w:rPr>
          <w:b/>
        </w:rPr>
        <w:t xml:space="preserve">Quelle: </w:t>
      </w:r>
      <w:r>
        <w:t>https://mcp.opencaselaw.ch/entscheid/bvger_C-899_2012</w:t>
      </w:r>
    </w:p>
    <w:p>
      <w:r>
        <w:t>FR: TAF C-899/2012 du 16 avril 2013</w:t>
      </w:r>
    </w:p>
    <w:p>
      <w:r>
        <w:t>IT: TAF C-899/2012 del 16 aprile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 Dem Antrag auf Vereinigung mit dem Verfahren C-891/2012 i.S. X._______ wird insofern Rechnung getragen, als über die beiden Beschwerden gleichzeitig befunden wird.</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2011/43 E. 6.1 sowie BVGE 2011/1 E. 2).</w:t>
      </w:r>
    </w:p>
    <w:p>
      <w:r>
        <w:rPr>
          <w:b/>
        </w:rPr>
        <w:t>E. 3.1</w:t>
      </w:r>
    </w:p>
    <w:p>
      <w:r>
        <w:t>Das BFM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3.2</w:t>
      </w:r>
    </w:p>
    <w:p>
      <w:r>
        <w:t>Das in Art. 67 AuG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Urteil des Bundesverwaltungs­gerichts C 820/2009 vom 9. März 2011 E. 5 mit Hinweisen).</w:t>
      </w:r>
    </w:p>
    <w:p>
      <w:r>
        <w:rPr>
          <w:b/>
        </w:rPr>
        <w:t>E. 4.1</w:t>
      </w:r>
    </w:p>
    <w:p>
      <w:r>
        <w:t>Die Vorinstanz stützte das Einreiseverbot allgemein auf Art. 67 AuG und verwies zur Begründung auf das vom Beschwerdeführer begangene geringfügige Vermögensdelikt sowie die im Anschluss daran sofort vollstreckte Wegweisung aus der Schweiz (vgl. Sachverhalt Bst. A und B). Der Beschwerdeführer bestreitet nicht, dass er am 16. Januar 2012 einen Ladendiebstahl begangen hat. Der diesbezügliche Strafbefehl der Staatsanwaltschaft des Kantons Zug vom 19. Januar 2012 ist in Rechtskraft erwachsen. Der Beschwerdeführer hat durch die von ihm verübte Straftat gegen die öffentlichen Sicherheit und Ordnung verstossen und damit unter dem Gesichtspunkt von Art. 67 Abs. 2 Bst. a AuG hinreichenden Anlass für die Verhängung einer Fernhaltemassnahme gegeben. Zudem wurde er als Folge dieses Verstosses mit Verfügung vom 18. Januar 2012 aus der Schweiz weggewiesen, wobei die Wegweisung nach Art. 64d Abs. 2 Bst. a AuG sofort vollstreckt wurde. Damit ist vorliegend auch der Fernhaltegrund des Art. 67 Abs. 1 Bst. a AuG erfüllt.</w:t>
      </w:r>
    </w:p>
    <w:p>
      <w:r>
        <w:rPr>
          <w:b/>
        </w:rPr>
        <w:t>E. 4.2</w:t>
      </w:r>
    </w:p>
    <w:p>
      <w:r>
        <w:t>Die Einwendungen des Beschwerdeführers gegen die angefochtene Verfügung beziehen sich primär auf deren Verhältnismässigkeit sowie auf die Zulässigkeit der SIS-Ausschreibung; darauf ist später einzugehen (s. hinten E. 5.3 und E. 6). Dass es sich beim vom Beschwerdeführer begangenen Ladendiebstahl zufolge des relativ niedrigen Werts der gestohlenen Lebensmittel und Batterien lediglich um ein geringfügiges Vermögensdelikt und damit um eine Übertretung handelt (vgl. Art. 103 StGB i.V.m. Art. 172ter Abs. 1 und Art. 139 Ziff. 1 StGB), ändert nichts daran, dass der Beschwerdeführer auf diese Weise gegen die öffentliche Sicherheit und Ordnung verstossen hat (vgl. Art. 80 Abs. 1 Bst. a VZAE).</w:t>
      </w:r>
    </w:p>
    <w:p>
      <w:r>
        <w:rPr>
          <w:b/>
        </w:rPr>
        <w:t>E. 4.3</w:t>
      </w:r>
    </w:p>
    <w:p>
      <w:r>
        <w:t>Zusammenfassend ist festzuhalten, dass hinreichende Gründe für die Verhängung einer Fernhaltemassnahme vorliegen.</w:t>
      </w:r>
    </w:p>
    <w:p>
      <w:r>
        <w:rPr>
          <w:b/>
        </w:rPr>
        <w:t>E. 5.1</w:t>
      </w:r>
    </w:p>
    <w:p>
      <w:r>
        <w:t>Gemäss der von der Schweiz per 1. Januar 2011 im Rahmen der Weiterentwicklung des Schengen-Besitzstandes übernommenen Richtlinie 2008/115/EG vom 16. Dezember 2008 über gemeinsame Normen und Verfahren in den Mitgliedstaaten zur Rückführung illegal aufhältiger Drittstaatsangehöriger (Rückführungsrichtlinie, RFRL, ABl. L 348 vom 24. Dezember 2008, S. 98 107) geht bei illegal anwesenden Drittstaatsangehörigen eine Wegweisung, die sofort vollstreckt wird oder bei der die betroffene Person nicht innert der angesetzten Frist ausgereist ist, in der Regel mit einem schengenweiten Einreiseverbot einher (vgl. Erwägungsgrund 14 RFRL sowie Art. 3 Ziff. 6 i.V.m. Art. 11 Abs. 1 RFRL). Davon kann nur in rechtfertigungsbedürftigen Ausnahmefällen abgesehen werden (vgl. Art. 11 Abs. 3 RFRL). Die Rückführungsrichtlinie ist eine so genannte hybride Richtlinie, welche die Schweiz grundsätzlich nur insoweit bindet, als sie den Schengener Besitzstand weiterentwickelt (vgl. Erwägungsgrund 29 RFRL mit Hinweis auf Art. 5 Schengener Grenzkodex [SGK, Abl. L 105 vom 13. April 2006, S. 1-32]; vgl. auch Art. 9 ff. des Schengener Durchführungsübereinkommens [SDÜ, Abl. L 239 vom 22. September 2000, S. 19-62]; BBl 2009 8923 f.; Art. 7 i.V.m. Art. 2 Schengen-Assoziierungs­abkommen [SAA, SR 0.362.31]; Paul-Lukas Good, Die Schengen-Assoziierung der Schweiz, Diss. St. Gallen 2010, S. 57). Nachdem im vorliegenden Fall der Beschwerdeführer die Einreisevoraussetzungen für einen kurzfristigen Aufenthalt gemäss Art. 5 SGK nicht mehr erfüllte (s. hinten, E. 5.3), kann offen bleiben, welche Tragweite der Tatsache beizumessen ist, dass Bundesrat und Parlament bei der Übernahme der Rückführungsrichtlinie offenbar von einem umfassenderen Anwendungsbereich ausgingen (vgl. BBl 2009 8886 ff. und 8903; AB 2010 S 347; AB 2010 N 723 ff.).</w:t>
      </w:r>
    </w:p>
    <w:p>
      <w:r>
        <w:rPr>
          <w:b/>
        </w:rPr>
        <w:t>E. 5.2</w:t>
      </w:r>
    </w:p>
    <w:p>
      <w:r>
        <w:t>Muss aufgrund der Rückführungsrichtlinie ein schengenweites Einreiseverbot ausgesprochen werden, so ist zur Umsetzung dieser Verpflichtung die betroffene Person im Schengener Informationssystem (SIS) zur Einreiseverweigerung auszuschreiben (vgl. Art. 94 Abs. 1 und Art. 96 SDÜ sowie Art. 16 Abs. 2 und 4 des Bundesgesetzes vom 13. Juni 2008 über die polizeilichen Informationssysteme des Bundes [BPI, SR 361]). Damit wird der betroffenen Person grundsätzlich die Einreise in das Hoheitsgebiet sämtlicher Schengen-Mitglied­staaten verboten (vgl. Art. 5 Abs. 1 Bst d sowie Art. 13 Abs. 1 SGK). Die Mitgliedstaaten können einer solchen Person aus humanitären Gründen oder Gründen des nationalen Interesses oder aufgrund in­ternationaler Verpflichtungen die Einreise in das eigene Hoheitsgebiet gestatten bzw. ihr ein Schengen-Visum mit räumlich beschränkter Gül­tigkeit ausstellen (vgl. Art. 13 Abs. 1 i.V.m. Art. 5 Abs. 4 Bst. c SGK; Art. 25 Abs. 1 Bst. a [ii] Visakodex, Abl. L 243 vom 15. September 2009; Art. 11 Abs. 3 RFRL).</w:t>
      </w:r>
    </w:p>
    <w:p>
      <w:r>
        <w:rPr>
          <w:b/>
        </w:rPr>
        <w:t>E. 5.3</w:t>
      </w:r>
    </w:p>
    <w:p>
      <w:r>
        <w:t>Der EU-Beitritt Kroatiens ist für den 1. Juli 2013 vorgesehen. Der Beschwerdeführer ist mithin noch nicht Bürger eines Mitgliedstaates der Europäischen Union. Aufgrund der Ausschreibung im SIS ist ihm untersagt, den Schengen-Raum zu betreten. Der Beschwerdeführer macht zu Recht geltend, dass die SIS-Ausschreibung vorliegend nicht auf Art. 96 Abs. 2 Bst. a SDÜ gestützt werden kann, weil er nicht wegen einer Straftat verurteilt worden ist, die mindestens mit einer Freiheitsstrafe von einem Jahr bedroht ist, sondern wegen einer Übertretung, die nur mit Busse geahndet wird (vgl. Art. 172ter StGB). Die Ausschreibung im SIS kann jedoch gemäss Art. 96 Abs. 3 SDÜ ebenso darauf beruhen, dass der Drittausländer ausgewiesen worden ist, wobei diese Massnahme von einem Einreiseverbot begleitet worden sein und auf der Nichtbeachtung des nationalen Rechts über die Einreise oder den Aufenthalt von Ausländern beruhen muss. Dieser Ausschreibungsgrund ist vorliegend erfüllt. Der Beschwerdeführer wurde aus der Schweiz weggewiesen, weil er die für den Aufenthalt notwendigen Mittel nicht besass und die öffentliche Ordnung und Sicherheit gefährdete (vgl. Wegweisungsverfügung vom 18. Januar 2012). Damit erfüllte er die Einreisevoraussetzungen nicht mehr und hielt sich illegal in der Schweiz auf (vgl. Art. 64 Abs. 1 Bst. a i.V.m. Art. 5 Abs. 1 Bst. b u. c AuG; Art. 9 Abs. 2 VZAE; Art. 5 Abs. 1 SGK sowie Art. 3 Ziff. 2 RFRL). Der in der Ausschreibung im SIS liegende Eingriff wird namentlich deshalb durch die Bedeutung des Falls gerechtfertigt (vgl. Art. 94 Abs. 1 und Art. 96 Abs. 3 SDÜ), weil die Schweiz die Interessen der Gesamtheit aller Schengen-Staaten zu wahren hat und vorliegend als Folge der sofort vollzogenen Wegweisung zum Erlass eines schengenweiten Einreiseverbots verpflichtet war (vgl. Art. 3 Ziff. 6 i.V.m. Art. 11 und Erwägungsgrund 29 RFRL; BVGE 2011/48 E. 6.1; ein Ausnahmefall liegt nicht vor, s. hinten E. 6.3). Die Voraussetzungen für den Erlass eines schengenweiten Einreiseverbots resp. für die Ausschreibung im SIS waren demnach erfüllt.</w:t>
      </w:r>
    </w:p>
    <w:p>
      <w:r>
        <w:rPr>
          <w:b/>
        </w:rPr>
        <w:t>E. 6.1</w:t>
      </w:r>
    </w:p>
    <w:p>
      <w:r>
        <w:t>Beim sofortigen Vollzug einer Wegweisungsverfügung ist gemäss Art. 67 Abs. 1 Bst. a AuG grundsätzlich ein Einreiseverbot zu erlassen. Der Vorinstanz kam vorliegend mithin ein stark eingeschränktes Entschliessungsermessen zu (vgl. BBl 2009 8896 ad Art. 67 Abs. 1); nur in Ausnahmefällen ist von der Verhängung eines Einreiseverbots abzusehen (vgl. Art. 67 Abs. 5 AuG). Dennoch ist - namentlich im Hinblick auf die Dauer des Einreiseverbots - stets im Einzelfall zu prüfen, ob die Massnahme in richtiger Ausübung des Ermessens ergangen und angemessen ist. Der Grundsatz der Verhältnismässigkeit steht dabei im Vordergrund. Unter diesem Gesichtspunkt ist eine wertende Abwägung zwischen dem öffentlichen Interesse an der Massnahme und den beeinträchtigten privaten Interessen des Betroffenen vorzunehmen.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Aufl., Zürich/St. Gallen 2010, Rz. 613 ff.).</w:t>
      </w:r>
    </w:p>
    <w:p>
      <w:r>
        <w:rPr>
          <w:b/>
        </w:rPr>
        <w:t>E. 6.2</w:t>
      </w:r>
    </w:p>
    <w:p>
      <w:r>
        <w:t>Der Beschwerdeführer beging in der Schweiz ein geringfügiges Vermögensdelikt und musste aus der Schweiz weggewiesen werden, weil er die Einreisevoraussetzungen nicht mehr erfüllte (vgl. Sachverhalt Bst. A und B). Aus dem manifestierten Verhalten des Beschwerdeführers wird auf eine Gefährdung der öffentlichen Sicherheit und Ordnung geschlossen. Das Einreiseverbot hat in erster Linie präventiven Charakter, um weiteren Straftaten des Beschwerdeführers entgegenzuwirken. Die Vorinstanz war demnach berechtigt, zur Abwendung künftiger Störungen der öffentlichen Sicherheit und Ordnung ein Einreiseverbot zu verhängen. Als gewichtig zu betrachten ist vorliegend einerseits das generalpräventiv motivierte Interesse, die öffentliche Ordnung durch eine konsequente Massnahmenpraxis zu schützen (vgl. dazu Urteil des Bundesgerichts 2C_948/2011 vom 11. Juli 2012 E. 3.4.2 in fine). Andererseits liegt eine spezialpräventive Zielsetzung der Fernhaltemassnahme darin, dass sie den Beschwerdeführer ermahnt, bei einer künftigen Wiedereinreise in die Schweiz resp. in den Schengen-Raum nach Ablauf der Dauer des Einreiseverbots die für ihn geltenden Regeln einzuhalten und keine weiteren Verstösse gegen die öffentliche Ordnung und Sicherheit zu begehen (vgl. hierzu Urteil des Bundesverwaltungsgerichts C 2771/2010 vom 3. Februar 2012 E. 6.1). Es besteht demnach im vorliegenden Fall ein erhebliches öffentliches Interesse an der befristeten Fernhaltung des Beschwerdeführers.</w:t>
      </w:r>
    </w:p>
    <w:p>
      <w:r>
        <w:rPr>
          <w:b/>
        </w:rPr>
        <w:t>E. 6.3</w:t>
      </w:r>
    </w:p>
    <w:p>
      <w:r>
        <w:t>Der Beschwerdeführer bringt als persönliches Interesse vor, er führe eine Kleiderladenkette und sei darauf angewiesen, regelmässig in den Schengen-Raum reisen zu können, um dort die neusten Modekollektionen auszusuchen und einzukaufen. Er werde in seiner wirtschaftlichen Freiheit erheblich eingeschränkt. In Bezug auf diese Vorbringen belässt es der Beschwerdeführer jedoch bei nicht substantiierten Behauptungen. Selbst wenn man diese als glaubhaft einstuft, rechtfertigen es die geltend gemachten persönlichen Interessen jedoch nicht, von einem Einreiseverbot abzusehen. Der Beschwerdeführer hat die mit der Fernhaltemassnahme einhergehenden Einschränkungen hinzunehmen, zumal das dargelegte öffentliche Interesse erheblich ins Gewicht fällt. Das Einreiseverbot wirkt sodann nicht absolut. Sollte der Beschwerdeführer während dessen Dauer zwingend in einen Schengen-Staat reisen müssen, so stünde ihm die Möglichkeit offen, aus wichtigen Gründen die zeitweilige Suspension der angeordneten Fernhaltemassnahme zu beantragen (vgl. Art. 5 Abs. 4 Bst. d SGK sowie für die Schweiz Art. 67 Abs. 5 AuG).</w:t>
      </w:r>
    </w:p>
    <w:p>
      <w:r>
        <w:rPr>
          <w:b/>
        </w:rPr>
        <w:t>E. 6.4</w:t>
      </w:r>
    </w:p>
    <w:p>
      <w:r>
        <w:t>Eine wertende Gewichtung der sich entgegenstehenden Interessen führt nach dem Gesagten zum Ergebnis, dass das auf zwei Jahre befristete Einreiseverbot sowohl vom Grundsatz her als auch in Bezug auf seine Dauer eine verhältnismässige und angemessene Massnahme zum Schutz der öffentlichen Sicherheit und Ordnung darstellt.</w:t>
      </w:r>
    </w:p>
    <w:p>
      <w:r>
        <w:rPr>
          <w:b/>
        </w:rPr>
        <w:t>E. 7</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8</w:t>
      </w:r>
    </w:p>
    <w:p>
      <w:r>
        <w:t>Dem Ausgang des Verfahrens entsprechend wird der unterliegende Beschwerdeführer kostenpflichtig (Art. 63 Abs. 1 VwVG). Die Verfahrenskosten sind auf Fr. 500.- festzusetzen (Art. 1, Art. 2 und Art. 3 Bst. b des Reglements vom 21. Februar 2008 über die Kosten und Entschädigungen vor dem Bundesverwaltungsgericht [VGKE,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