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C-899/2010 vom 10. August 2011</w:t>
      </w:r>
    </w:p>
    <w:p>
      <w:r>
        <w:t>Bundesverwaltungsgericht, 2011-08-10, DE</w:t>
      </w:r>
    </w:p>
    <w:p>
      <w:r>
        <w:rPr>
          <w:b/>
        </w:rPr>
        <w:t xml:space="preserve">Quelle: </w:t>
      </w:r>
      <w:r>
        <w:t>https://mcp.opencaselaw.ch/entscheid/bvger_C-899_2010</w:t>
      </w:r>
    </w:p>
    <w:p>
      <w:r>
        <w:t>FR: TAF C-899/2010 du 10 août 2011</w:t>
      </w:r>
    </w:p>
    <w:p>
      <w:r>
        <w:t>IT: TAF C-899/2010 del 10 agosto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 2682/2007 vom 7. Oktober 2010 E. 1.2 und 1.3).</w:t>
      </w:r>
    </w:p>
    <w:p>
      <w:r>
        <w:rPr>
          <w:b/>
        </w:rPr>
        <w:t>E. 3</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3.1</w:t>
      </w:r>
    </w:p>
    <w:p>
      <w:r>
        <w:t>Der Beschwerdeführerin ist zwar noch unter dem Geltungsbereich des Bundesgesetzes vom 26. März 1931 über Aufenthalt und Nieder­lassung der Ausländer (ANAG, BS 1 121) eine erstmalige Aufenthalts­bewilligung erteilt worden; da sie jedoch mit Gesuch vom 16. Oktober 2009 die zur Frage stehende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 Juli 2009 (www.bfm.ch &gt; Dokumentation &gt; Rechtliche Grundlagen &gt; Weisungen und Kreisschreiben).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w:t>
      </w:r>
    </w:p>
    <w:p>
      <w:r>
        <w:t>Die Beschwerdeführerin macht in erster Linie geltend, sie habe aufgrund ihrer mehr als drei Jahre dauernden Ehe und ihrer Integration Anspruch auf Verlängerung ihrer Aufenthaltsbewilligung.</w:t>
      </w:r>
    </w:p>
    <w:p>
      <w:r>
        <w:rPr>
          <w:b/>
        </w:rPr>
        <w:t>E. 5.1</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w:t>
      </w:r>
    </w:p>
    <w:p>
      <w:r>
        <w:rPr>
          <w:b/>
        </w:rPr>
        <w:t>E. 5.2</w:t>
      </w:r>
    </w:p>
    <w:p>
      <w:r>
        <w:t>Im vorliegenden Fall bestehen - so auch die Vorinstanz - Anhaltspunkte dafür, dass die Beschwerdeführerin nur deshalb einen in der Schweiz niedergelassenen Landsmann geheiratet hat, um hier ein Aufenthaltsrecht zu erhalten (vgl. Sachverhalt E.a). Allerdings braucht auf die Aspekte einer eventuellen Scheinehe - die den Bestand einer ehelichen Gemeinschaft von vornherein ausschliessen würde - angesichts der weiteren Erwägungen nicht mehr eingegangen zu werden.</w:t>
      </w:r>
    </w:p>
    <w:p>
      <w:r>
        <w:rPr>
          <w:b/>
        </w:rPr>
        <w:t>E. 5.3</w:t>
      </w:r>
    </w:p>
    <w:p>
      <w:r>
        <w:t>Aus dem in französischer Übersetzung vorliegenden Scheidungsurteil vom 30. Januar 2008 geht hervor, dass die Trennung der Ehegatten (...) bereits zwei Jahre zuvor stattfand. Ihr am 19. Dezember 2004 in der Schweiz beginnendes eheliches Zusammenleben dauerte demzufolge nur rund 14 Monate. Zwar hat die Beschwerdeführerin geltend gemacht, in Wahrheit habe sie mit ihrem Ehemann nahezu während der gesamten Ehedauer zusammengelebt; diese Behauptung ist allerdings nicht zu berücksichtigen. Vielmehr muss sich die Beschwerdeführerin die im Scheidungsverfahren gemachten Angaben anrechnen lassen, besteht doch kein Anspruch darauf, je nach dem Zweck des Verfahrens im Hinblick auf dessen gewünschtes Ergebnis unterschiedliche Aussagen zu machen (vgl. Urteil des Bundesgerichts 5A.23/2001 vom 11. Februar 2002, E. 2b dd, nicht publiziert in BGE 128 II 97; Urteil des Bundesverwaltungsgerichts C-1180/2006 vom 11. März 2008 E. 6.3.1). Davon abgesehen erscheint die Berufung auf eine mindestens dreijährige Ehegemeinschaft aber auch deshalb unglaubhaft, weil sie erst erfolgte, nachdem die Vorinstanz in ihrer Vernehmlassung darauf hingewiesen hatte, dass die rein formelle Ehedauer nicht mit dem Bestand der ehelichen Gemeinschaft gleichgesetzt werden kann.</w:t>
      </w:r>
    </w:p>
    <w:p>
      <w:r>
        <w:rPr>
          <w:b/>
        </w:rPr>
        <w:t>E. 5.4</w:t>
      </w:r>
    </w:p>
    <w:p>
      <w:r>
        <w:t>Aufgrund des dargelegten Sachverhalts fällt ausser Betracht, dass die Ehegatten (...) - im Sinne von Art. 49 AuG - wichtige Gründe für ein Getrenntleben hatten und ihre Ehegemeinschaft trotzdem mindestens drei Jahre aufrecht erhielten. Im Ergebnis ist somit davon auszugehen, dass die eheliche Gemeinschaft der Beschwerdeführerin vor Ablauf von drei Jahren beendet war. Art. 50 Abs. 1 Bst. a AuG findet in ihrem Fall folglich keine Anwendung. Im Rahmen dieser Bestimmung kommt es auf die behauptete Integration - die ein kumulatives Kriterium wäre - nicht mehr an.</w:t>
      </w:r>
    </w:p>
    <w:p>
      <w:r>
        <w:rPr>
          <w:b/>
        </w:rPr>
        <w:t>E. 6</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stehenden Gründe - können sich auch daraus ergeben, dass der in der Schweiz lebende Ehepartner gestorben ist oder gemein­same Kinder vorhanden sind (vgl. Marc Spescha, a.a.O. Art. 50 AuG N. 7 sowie Mar­tina Caroni in: Caroni/Gächter/Thurnherr [Hrsg.], a.a.O., Art. 50 N 23 f.).</w:t>
      </w:r>
    </w:p>
    <w:p>
      <w:r>
        <w:rPr>
          <w:b/>
        </w:rPr>
        <w:t>E. 6.1</w:t>
      </w:r>
    </w:p>
    <w:p>
      <w:r>
        <w:t>Im Falle der Beschwerdeführerin sind jedoch keine spezifischen, auf ihrer Ehe bzw. deren Auflösung beruhenden Gründe ersichtlich, die ihr einen Anspruch auf weiteren Verbleib in der Schweiz verschaffen könn­ten. Aus ihrer Ehe sind keine Kinder hervorgegangen. Auch der Umstand, dass ihre Ehe gescheitert ist, lässt nicht erkennen, dass ihre soziale Wiedereingliederung im Herkunftsland (Kosovo) stark gefährdet wäre. Soweit sie geltend macht, sie wäre dort, ohne Ehemann, auf sich allein gestellt, entspräche diese Situation nur derjenigen, die bereits bestand, als sie Ende 2004, im Alter von 36 Jahren ihre Heimat verlassen hat. Ihr Hinweis auf die angeblich in ihrem Kulturkreis schwierige Position geschiedener Frauen kann schon deshalb kaum ins Gewicht fallen, weil die damalige Eheschliessung mit einem 14 Jahre jüngeren Landsmann kaum den heimatlichen Gepflogenheiten entsprochen und ein - bewusst in Kauf genommenen - Stabilitätsrisiko für die Ehe dargestellt haben dürfte.</w:t>
      </w:r>
    </w:p>
    <w:p>
      <w:r>
        <w:rPr>
          <w:b/>
        </w:rPr>
        <w:t>E. 6.2</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2C_784/2010 E. 3.2.3 mit weiteren Hinweisen). Aus­drück­lich werden dort aufgeführt: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6.3</w:t>
      </w:r>
    </w:p>
    <w:p>
      <w:r>
        <w:t>Eigenen Angaben zufolge hat sich die Beschwerdeführerin in privater und beruflicher Hinsicht gut integriert; auch die Vorinstanz hat nicht in Abrede gestellt, dass ihre bisherige Integration den Umständen entsprechend verlaufen ist und ihr eine finanzielle Unabhängigkeit verschafft hat.</w:t>
      </w:r>
    </w:p>
    <w:p>
      <w:r>
        <w:rPr>
          <w:b/>
        </w:rPr>
        <w:t>E. 6.3.1</w:t>
      </w:r>
    </w:p>
    <w:p>
      <w:r>
        <w:t>Dem Umstand, dass die Beschwerdeführerin an ihrem Arbeitsplatz offenbar geschätzt wird, kommt angesichts der arbeitsmarktlichen Interessen der Schweiz jedoch kein besonderes Gewicht zu. Auch die erworbenen Sprachkenntnisse und der angeblich bestehende Freundes- und Bekanntenkreis zeigen lediglich auf, dass die bisherige Eingliederung der Beschwerdeführerin einer normalen zeitlichen Entwicklung, nicht aber einer besonderen - und auf eine enge Beziehung zur Schweiz hinweisenden - Integrationsleistung entspricht.</w:t>
      </w:r>
    </w:p>
    <w:p>
      <w:r>
        <w:rPr>
          <w:b/>
        </w:rPr>
        <w:t>E. 6.3.2</w:t>
      </w:r>
    </w:p>
    <w:p>
      <w:r>
        <w:t>Festzustellen ist auch, dass sich die Beschwerdeführerin noch nicht sehr lange, d.h. erst seit Dezember 2004, in der Schweiz aufhält, und dass mit der Trennung von ihrem Ehemann - die laut Scheidungsurteil spätestens im Januar 2006 erfolgte - kein weiteres Aufenthaltsrecht in der Schweiz mehr bestand. Der damals geltende Art. 17 Abs. 2 ANAG - gleiches gilt für Art. 43 Abs. 1 AuG - macht die Erteilung bzw. Verlängerung einer Aufenthaltsbewilligung für den ausländischen Ehepartner nämlich davon abhängig, dass dieser mit dem niederlassungsberechtigten Ehegatten zusammenwohnt. Die Beschwerdeführerin war sich dieser Rechtsfolge offensichtlich auch bewusst, hätte sie doch ansonsten die kantonale Ausländerbehörde nicht erst im November 2009 und erst auf entsprechende Aufforderung hin über die fast zwei Jahre zurückliegende Scheidung - und damit inzidenter auch über die weitere zwei Jahre zuvor erfolgte Trennung - informiert.</w:t>
      </w:r>
    </w:p>
    <w:p>
      <w:r>
        <w:rPr>
          <w:b/>
        </w:rPr>
        <w:t>E. 6.3.3</w:t>
      </w:r>
    </w:p>
    <w:p>
      <w:r>
        <w:t>Bereits im Sommer 2005 hatte es die Beschwerdeführerin versäumt, die zuständigen Behörden über die Änderung in ihren persönlichen Verhältnissen zu informieren. Ab dem 1. August 2005 wohnte und arbeitete sie nämlich in Basel, ohne dass ihr der Kantonswechsel und die Arbeitsaufnahme bewilligt worden wäre; erst eine polizeiliche Kontrolle am 13. Oktober 2005 beendete ihre illegale Beschäftigung. Diese - gerichtlich durch eine Geldbusse geahndete - Verfehlung macht immerhin auch deutlich, dass sich die Beschwerdeführerin in gesellschaftlicher Hinsicht nicht anstandslos in die hiesigen Verhältnisse eingefügt hat. Der Vollständigkeit halber sei darauf hingewiesen, dass sie sich 1992 illegal in der Schweiz aufhielt und als Kindermädchen arbeitete, weswegen sie mit Strafverfügung des Bezirksamts Weinfelden vom 4. August 1992 zu einer bedingt aufgeschobenen fünftägigen Haftstrafe verurteilt wurde. Aus gleichem Anlass verhängte das Bundesamt für Ausländerfragen (heute: Bundesamt für Migration, BFM) am 10. Juli 1992 über sie eine dreijährige Einreisesperre.</w:t>
      </w:r>
    </w:p>
    <w:p>
      <w:r>
        <w:rPr>
          <w:b/>
        </w:rPr>
        <w:t>E. 6.3.4</w:t>
      </w:r>
    </w:p>
    <w:p>
      <w:r>
        <w:t>Den Akten ist zu entnehmen, dass die Beschwerdeführerin in ihrer Heimat noch über Familienangehörige - ihre Eltern und einen Bruder - verfügt. Hierauf hat auch die Vorinstanz in ihrer Verfügung hingewiesen und festgestellt, dass das Verhältnis zueinander offensichtlich intakt sei. Dem hat die Beschwerdeführerin nicht widersprochen. Angesichts dessen kann davon ausgegangen werden, dass sie sich bei ihrer Rückkehr in ihr Heimatland, das sie erst vor wenigen Jahren verlassen und zuletzt im Jahr 2009 besucht hat, wieder integrieren kann. Ohne Belang ist es, wenn sie dort wirtschaftliche Verhältnisse vorfindet, die nicht denjenigen der Schweiz entsprechen.</w:t>
      </w:r>
    </w:p>
    <w:p>
      <w:r>
        <w:rPr>
          <w:b/>
        </w:rPr>
        <w:t>E. 6.3.5</w:t>
      </w:r>
    </w:p>
    <w:p>
      <w:r>
        <w:t>Da die Beschwerdeführerin keine gravierenden gesundheitlichen Probleme hat, ergeben sich insgesamt gesehen keine wichtigen persönlichen Gründe, die eine Verlängerung ihrer Aufenthaltsbewilligung erfordern würden.</w:t>
      </w:r>
    </w:p>
    <w:p>
      <w:r>
        <w:rPr>
          <w:b/>
        </w:rPr>
        <w:t>E. 7</w:t>
      </w:r>
    </w:p>
    <w:p>
      <w:r>
        <w:t>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Bundesgerichts 2C_365/2010 vom 22. Juni 2011 E. 3.7). Dass die Vorinstanz die Zustimmung zur Verlängerung der Aufenthalts­bewilligung verweigert hat, kann daher nicht beanstandet werden.</w:t>
      </w:r>
    </w:p>
    <w:p>
      <w:r>
        <w:rPr>
          <w:b/>
        </w:rPr>
        <w:t>E. 8</w:t>
      </w:r>
    </w:p>
    <w:p>
      <w:r>
        <w:t>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w:t>
      </w:r>
    </w:p>
    <w:p>
      <w:r>
        <w:rPr>
          <w:b/>
        </w:rPr>
        <w:t>E. 8.1</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w:t>
      </w:r>
    </w:p>
    <w:p>
      <w:r>
        <w:rPr>
          <w:b/>
        </w:rPr>
        <w:t>E. 8.2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C-6627/2008 vom 26. März 2010 E. 8.2 mit Hinweisen).</w:t>
      </w:r>
    </w:p>
    <w:p>
      <w:r>
        <w:rPr>
          <w:b/>
        </w:rPr>
        <w:t>E. 8.3</w:t>
      </w:r>
    </w:p>
    <w:p>
      <w:r>
        <w:t>Die Beschwerdeführerin hat sich im vorliegenden Verfahren nicht zur Situation in ihrem Heimatland geäussert, geschweige denn zu den Lebensumständen, die sie bei ihrer Rückkehr in den Kosovo vorfinden würde. Schon angesichts dessen kann nicht davon ausgegangen werden, dass der Vollzug ihrer Wegweisung sie dort in eine existenzbedrohende Situation geraten lassen würde und deshalb als unzumutbar zu erachten wäre. Dass die Beschwerdeführerin im Kosovo andere Lebensverhältnisse als in der Schweiz antreffen wird, ist, wie bereits gesagt, unerheblich. Der Vollzug ihrer Wegweisung ist somit als zumutbar zu erachten.</w:t>
      </w:r>
    </w:p>
    <w:p>
      <w:r>
        <w:rPr>
          <w:b/>
        </w:rPr>
        <w:t>E. 9</w:t>
      </w:r>
    </w:p>
    <w:p>
      <w:r>
        <w:t>Aus diesen Darlegungen folgt, dass die angefochtene Verfügung als recht­mässig zu bestätigen ist (Art. 49 VwVG). Die Beschwerde ist demzufolge abzuweisen.</w:t>
      </w:r>
    </w:p>
    <w:p>
      <w:r>
        <w:rPr>
          <w:b/>
        </w:rPr>
        <w:t>E. 10</w:t>
      </w:r>
    </w:p>
    <w:p>
      <w:r>
        <w:t>Entsprechend dem Ausgang des Verfahrens sind der Beschwerdeführerin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