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C-897/2006 vom 27. August 2007</w:t>
      </w:r>
    </w:p>
    <w:p>
      <w:r>
        <w:t>Bundesverwaltungsgericht, 2007-08-27, DE</w:t>
      </w:r>
    </w:p>
    <w:p>
      <w:r>
        <w:rPr>
          <w:b/>
        </w:rPr>
        <w:t xml:space="preserve">Quelle: </w:t>
      </w:r>
      <w:r>
        <w:t>https://mcp.opencaselaw.ch/entscheid/bvger_C-897_2006</w:t>
      </w:r>
    </w:p>
    <w:p>
      <w:r>
        <w:t>FR: TAF C-897/2006 du 27 août 2007</w:t>
      </w:r>
    </w:p>
    <w:p>
      <w:r>
        <w:t>IT: TAF C-897/2006 del 27 agosto 2007</w:t>
      </w:r>
    </w:p>
    <w:p>
      <w:pPr>
        <w:pStyle w:val="Heading2"/>
      </w:pPr>
      <w:r>
        <w:t>Regeste</w:t>
      </w:r>
    </w:p>
    <w:p>
      <w:r>
        <w:t>Einreise</w:t>
      </w:r>
    </w:p>
    <w:p>
      <w:pPr>
        <w:pStyle w:val="Heading2"/>
      </w:pPr>
      <w:r>
        <w:t>Erwägungen</w:t>
      </w:r>
    </w:p>
    <w:p>
      <w:r>
        <w:rPr>
          <w:b/>
        </w:rPr>
        <w:t>E. 1.1</w:t>
      </w:r>
    </w:p>
    <w:p>
      <w:r>
        <w:t>Verfügungen der Vorinstanz betreffend Verweigerung der Einreisebewilligung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 Gemäss Art. 37 VGG richtet sich das Verfahren vor dem Bundesverwaltungsgericht nach dem Bundesgesetz vom 20. Dezember 1968 über das Verwaltungsverfahren (VwVG, SR 172.021), soweit das Verwaltungsgerichtsgesetz nichts anderes bestimmt.</w:t>
      </w:r>
    </w:p>
    <w:p>
      <w:r>
        <w:rPr>
          <w:b/>
        </w:rPr>
        <w:t>E. 1.3</w:t>
      </w:r>
    </w:p>
    <w:p>
      <w:r>
        <w:t>Das Bundesverwaltungsgericht entscheidet endgültig (Art. 1 Abs. 2 VGG i.V.m. Art. 83 Bst. c Ziff. 1 des Bundesgerichtsgesetzes vom 17. Juni 2005 [BGG, SR 173.110]).</w:t>
      </w:r>
    </w:p>
    <w:p>
      <w:r>
        <w:rPr>
          <w:b/>
        </w:rPr>
        <w:t>E. 2</w:t>
      </w:r>
    </w:p>
    <w:p>
      <w:r>
        <w:t>Die Beschwerdeführerin ist zur Beschwerde legitimiert; auf die frist- und formgerecht eingereichte Beschwerde ist einzutreten (Art. 48 ff. VwVG).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der Verordnung vom 14. Januar 1998 über Einreise und Anmeldung von Ausländerinnen und Ausländern [VEA, SR 142.211];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Genf/München 2000, S. 24).</w:t>
      </w:r>
    </w:p>
    <w:p>
      <w:r>
        <w:rPr>
          <w:b/>
        </w:rPr>
        <w:t>E. 3.2</w:t>
      </w:r>
    </w:p>
    <w:p>
      <w:r>
        <w:t>Ausländerinnen und Ausländer benötigen zur Einreise in die Schweiz einen Pass und ein Visum, sofern sie nicht aufgrund besonderer Regelung von diesem Erfordernis ausgenommen sind (vgl. Art. 1 bis 5 VEA). Die Gesuchstellerin kann sich auf keine Ausnahmeregelung berufen; sie ist aufgrund ihrer Staatsangehörigkeit visumspflichtig.</w:t>
      </w:r>
    </w:p>
    <w:p>
      <w:r>
        <w:rPr>
          <w:b/>
        </w:rPr>
        <w:t>E. 4</w:t>
      </w:r>
    </w:p>
    <w:p>
      <w:r>
        <w:t>Um ein Visum zu erhalten, müssen Ausländerinnen und Ausländer die in Art. 1 Abs. 2 VEA aufgeführten Voraussetzungen erfüllen. Unter anderem haben sie gemäss Art. 1 Abs. 2 Bst. c VEA Gewähr für eine fristgerechte Wiederausreise zu bieten. Die Vorinstanz verweigerte der Beschwerdeführerin die Erteilung eines solchen Visums mit der Begründung, ihre fristgerechte Wiederausreise erscheine nicht als hinreichend gesichert.</w:t>
      </w:r>
    </w:p>
    <w:p>
      <w:r>
        <w:rPr>
          <w:b/>
        </w:rPr>
        <w:t>E. 5.1</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5.2</w:t>
      </w:r>
    </w:p>
    <w:p>
      <w:r>
        <w:t>Die Asienkrise von 1997 liess auch die Wirtschaft Thailands schrumpfen, dem Land gelang allerdings schnell der Umschwung hin zu neuem Wirtschaftswachstum. Seit 2005 sind die Wachstumswerte wieder leicht rückläufig. Hauptträger des Wachstums 2005 waren, gestützt durch umfangreiche Konjunkturprogramme der Regierung, der Export und öffentliche Investitionen, die den privaten Verbrauch als Wachstumsmotor klar abgelöst haben (Quelle: http://www.auswaertiges-amt.de, Stand: Oktober 2006).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Jahre 2005 nur gerade 2'628 USD. Entsprechend hoch ist der Anteil jener, die versuchen, ins Ausland zu gelangen, um sich unter günstigeren Lebensbedingungen eine bessere Existenz sichern zu können.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6.1</w:t>
      </w:r>
    </w:p>
    <w:p>
      <w:r>
        <w:t>Bei der Risikoanalyse sind aber nicht nur solche allgemeinen Umstände und Erfahrungen, sondern auch sämtliche Gesichtspunkte des konkreten Einzelfalles zu berücksichtigen. Obliegt einem Gesuchsteller bzw. einer Gesuchstellerin im Heimatstaat beispielsweise eine besondere berufliche, gesellschaftliche oder familiäre Verantwortung, kann dieser Umstand durchaus die Prognose für eine anstandslose Wiederausreise begünstigen. Umgekehrt muss bei Gesuchstellern und Gesuchstellerinnen,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6.2</w:t>
      </w:r>
    </w:p>
    <w:p>
      <w:r>
        <w:t>Bei der Beschwerdeführerin handelt es sich um eine 31-jährige Frau und Mutter eines neuneinhalb Jahre alten Kindes. Auf den ersten Blick könnte der Umstand, dass sie für die Dauer ihres Besuchsaufenthaltes in der Schweiz ihr Kind in der Heimat zurücklassen würde, durchaus für eine gewisse Verwurzelung sprechen. Andererseits zeigt die Erfahrung, dass zurückbleibende Angehörige gerade in Situationen angespannter wirtschaftlicher Verhältnisse nicht verlässlich davon abhalten können, den Entscheid für eine Emigration zu fällen. Im Gegenteil, der Entscheid kann dort von der Hoffnung getragen sein, die Angehörigen aus dem Ausland effizienter unterstützen und allenfalls später nachziehen zu können.</w:t>
      </w:r>
    </w:p>
    <w:p>
      <w:r>
        <w:rPr>
          <w:b/>
        </w:rPr>
        <w:t>E. 6.3</w:t>
      </w:r>
    </w:p>
    <w:p>
      <w:r>
        <w:t>Entsprechend grosse Bedeutung kommt deshalb den wirtschaftlichen Verhältnissen zu, in denen sich die Beschwerdeführerin befindet. So soll sie in ihrer Heimat ein kleines Lebensmittelgeschäft betreiben. Schon die Bezeichnung "klein" weist darauf hin, dass die Beschwerdeführerin aus ihrem Lebensmittelgeschäft keine besonderen finanziellen Erträge erwirtschaftet. Sie macht denn auch keine Angaben über ihre Einkommens- und Vermögensverhältnisse. Breite finanzielle Verhältnisse dürften aber nicht vorhanden sein, ist doch vorgesehen, dass die Gastgeber sämtliche mit dem Besuchsaufenthalt verbundenen Kosten übernehmen würden. Alles in allem kann damit nicht von wirtschaftlich günstigen Verhältnissen ausgegangen werden, die die Beschwerdeführerin verlässlich von einer Emigration abhalten könnten.</w:t>
      </w:r>
    </w:p>
    <w:p>
      <w:r>
        <w:rPr>
          <w:b/>
        </w:rPr>
        <w:t>E. 6.4</w:t>
      </w:r>
    </w:p>
    <w:p>
      <w:r>
        <w:t>In der Replik wird u.a. darauf hingewiesen, dass die Gastgeber noch nie Probleme mit den Behörden gehabt hätten. An deren Integrität ist sicherlich nicht zu zweifeln. Für die Risikobeurteilung ist aber in erster Linie die Situation des Gastes in dessen Heimatland massgebend. Die Gastgeber können zwar für gewisse finanzielle Risiken im Zusammenhang mit dem Besuchsaufenthalt, nicht aber für ein bestimmtes Verhalten des Gastes garantieren. Denn eine Garantie für die rechtzeitige Rückreise ist trotz bester und ehrlicher Absichten nicht möglich beziehungsweise rechtlich nicht durchsetzbar (vgl. Verwaltungspraxis der Bundesbehörden [VPB] 57.24; Urteil des Bundesverwaltungsgerichts C-771/2006 vom 4. April 2007). Die Abwägung der für und gegen eine Wiederausreise sprechenden Gesichtspunkte obliegt allein der zuständigen Behörde. Die Gastgeber in der Schweiz haben darauf keinen Einfluss. Soweit vorgebracht wird, die Gastgeber hätten bereits Gäste aus dem Heimatland der Beschwerdeführerin zu Besuch gehabt, welche fristgerecht wieder zurückgekehrt seien, gilt es darauf hinzuweisen, dass sich mangels näherer Angaben einerseits nicht eruieren lässt, unter welchen Umständen diesen Personen in der Vergangenheit ein Einreisevisum erteilt wurde. Andererseits weist jeder Einzelfall - wie vorliegend belegt - eine ihm eigene und spezifische Konstellation auf, so dass er nicht ohne weiteres mit anderen, angeblich gleichgelagerten Fällen verglichen werden kann.</w:t>
      </w:r>
    </w:p>
    <w:p>
      <w:r>
        <w:rPr>
          <w:b/>
        </w:rPr>
        <w:t>E. 7</w:t>
      </w:r>
    </w:p>
    <w:p>
      <w:r>
        <w:t>Vor dem aufgezeigten Hintergrund durfte die Vorinstanz davon ausgehen, die fristgerechte Wiederausreise sei nicht gewährleistet (vgl. Art. 14 Abs. 1 i.V.m. Art. 1 Abs. 2 Bst. c VEA). Zwar lässt sich diese Prognose nicht zu einer gesicherten Feststellung verdichten, sie reicht aber aus, um die Erteilung einer Einreisebewilligung - auf welche wie bereits erwähnt ohnehin kein Rechtsanspruch besteht - abzulehnen. Daraus folgt, dass die angefochtene Verfügung Bundesrecht nicht verletzt. Der rechtserhebliche Sachverhalt wurde richtig und vollständig festgestellt und die Vorinstanz hat das ihr zustehende Ermessen pflichtgemäss und zutreffend ausgeübt (Art. 49 VwVG). Die Beschwerde ist daher abzuweisen.</w:t>
      </w:r>
    </w:p>
    <w:p>
      <w:r>
        <w:rPr>
          <w:b/>
        </w:rPr>
        <w:t>E. 8</w:t>
      </w:r>
    </w:p>
    <w:p>
      <w:r>
        <w:t>Entsprechend dem Ausgang des Verfahrens sind die Kosten der Beschwerdeführerin aufzuerlegen (Art. 63 Abs. 1 VwVG). Diese sind in Anwendung von Art. 1, Art. 2 und Art. 3 Bst. b des Reglements vom 11. Dezember 2006 über die Kosten und Entschädigungen vor dem Bundesverwaltungsgericht (VGKE, SR 173.320.2) auf Fr. 600.-- festzusetzen.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