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C-896/2014 vom 10. März 2014</w:t>
      </w:r>
    </w:p>
    <w:p>
      <w:r>
        <w:t>Bundesverwaltungsgericht, 2014-03-10, DE</w:t>
      </w:r>
    </w:p>
    <w:p>
      <w:r>
        <w:rPr>
          <w:b/>
        </w:rPr>
        <w:t xml:space="preserve">Quelle: </w:t>
      </w:r>
      <w:r>
        <w:t>https://mcp.opencaselaw.ch/entscheid/bvger_C-896_2014</w:t>
      </w:r>
    </w:p>
    <w:p>
      <w:r>
        <w:t>FR: TAF C-896/2014 du 10 mars 2014</w:t>
      </w:r>
    </w:p>
    <w:p>
      <w:r>
        <w:t>IT: TAF C-896/2014 del 10 marzo 2014</w:t>
      </w:r>
    </w:p>
    <w:p>
      <w:pPr>
        <w:pStyle w:val="Heading2"/>
      </w:pPr>
      <w:r>
        <w:t>Regeste</w:t>
      </w:r>
    </w:p>
    <w:p>
      <w:r>
        <w:t>Beiträge</w:t>
      </w:r>
    </w:p>
    <w:p>
      <w:pPr>
        <w:pStyle w:val="Heading2"/>
      </w:pPr>
      <w:r>
        <w:t>Erwägungen</w:t>
      </w:r>
    </w:p>
    <w:p>
      <w:r>
        <w:rPr>
          <w:b/>
        </w:rPr>
        <w:t>E. 2</w:t>
      </w:r>
    </w:p>
    <w:p>
      <w:r>
        <w:t>Gefällte Gerichtsentscheide bzw. Urteile sind aufzuheben, da ihre Zuständigkeit gar nie gegeben war. Zuständig ist das Bundesverwaltungsgericht, da der Fall ausschliesslich ausländische Personen betrifft.</w:t>
      </w:r>
    </w:p>
    <w:p>
      <w:r>
        <w:rPr>
          <w:b/>
        </w:rPr>
        <w:t>E. 3</w:t>
      </w:r>
    </w:p>
    <w:p>
      <w:r>
        <w:t>Die Nachzahlung betrifft einen Zeitraum von ca 2 ½ Jahren. Es wurden willkürliche Einkünfte und Umsätze angenommen, die niemals belegt worden sind und völlig realitätsfremd sind. Der Betrieb würde somit völlig ungerechterweise ruiniert.</w:t>
      </w:r>
    </w:p>
    <w:p>
      <w:r>
        <w:rPr>
          <w:b/>
        </w:rPr>
        <w:t>E. 4</w:t>
      </w:r>
    </w:p>
    <w:p>
      <w:r>
        <w:t>Bis zu einer schweizweit koordinierten, rechtlichen Regelung beantragen wir für A._______, das Verfahren anwenden zu dürfen, wie dies bereits in Zürich klaglos praktiziert wird.</w:t>
      </w:r>
    </w:p>
    <w:p>
      <w:r>
        <w:rPr>
          <w:b/>
        </w:rPr>
        <w:t>E. 5</w:t>
      </w:r>
    </w:p>
    <w:p>
      <w:r>
        <w:t>Unter Kostenfolgen zulasten der AHV, Zweigstelle Luzern", dass die Beschwerdeführerin folglich die Rechtsmässigkeit der Verfügung vom 22. Juli 2011 bzw. des Einspracheentscheides vom 14. März 2012 in Frage stellt, dass über den Gegenstand dieser beiden Entscheide auf Beschwerde hin und in einem ordentlichen Verfahren Urteile des Verwaltungsgerichts des Kantons Luzern und des Bundesgerichts ergingen; aus den Akten geht hervor, dass die genannten Gerichte ihre Zuständigkeit bejaht haben, dass der Entscheid des Bundesgerichts 9C_3/2013 vom 22. August 2013 mit dessen Fällung rechtskräftig wurde, dass in einer solchen Konstellation der Beschwerdeführerin einzig der Weg einer Revision im Sinne der Art. 121 ff. des Bundesgesetzes vom 17. Juni 2005 über das Bundesgericht (BGG SR 173.110) offensteht (A. Kölz/I. Häner/M. Bertschi, Verwaltungsverfahren und Verwaltungsrechtspflege des Bundes, 3. Aufl., Zürich/Basel/Genf 2013, N° 734), dass ein solches Gesuch beim Bundesgericht einzureichen ist, wobei die Rechtsschrift entsprechend zu begründen ist, ansonsten auf das Begehren nicht eingetreten wird (Yves Donzallaz, Loi sur le Tribunal fédéral, Commentaire, Berne 2008, p. 1672 n° 4648), dass der Vollständigkeit halber zu präzisieren ist, dass entgegen der Ansicht der Beschwerdeführerin Verfügungen, mit welchen eine Ausgleichkasse schweizerische Arbeitsgeber zur Rückzahlungen vom AHV-Beiträgen verpflichtet, nicht beim Bundesverwaltungsgericht sondern bei der zuständigen kantonalen Instanz anzufechten sind (Art. 84 des Bundesgesetzes über die Alters- und Hinterlassenenversicherung vom 20. Dezember 1946 [AHVG, SR 831.10]), was bis anhin auch seitens der Beschwerdeführerin anerkannt wurde (siehe Rechtschriften vom 12. April 2012 [BVGer-act. 1, Beilage 5, Ziffer 3] und vom 28. Dezember 2012 [BVGer-act. 1, Beilage 6, Ziffer 8]), dass die Verfahrenskosten ganz oder teilweise erlassen werden können, wenn wie vorliegend Gründe in der Sache oder in der Person der Partei es als unverhältnismässig erscheinen lassen, diese der Partei aufzu­erlegen (Art. 6 Bst. b des Reglements vom 21. Februar 2008 über die Kosten und Entschädigungen vor dem Bundesverwaltungsgericht [VGKE, SR 173.320.2]), dass bei diesem Verfahrensausgang von vornherein keine Parteientschädigung auszurichten ist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