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C-891/2008 vom 3. Oktober 2008</w:t>
      </w:r>
    </w:p>
    <w:p>
      <w:r>
        <w:t>Bundesverwaltungsgericht, 2008-10-03, FR</w:t>
      </w:r>
    </w:p>
    <w:p>
      <w:r>
        <w:rPr>
          <w:b/>
        </w:rPr>
        <w:t xml:space="preserve">Quelle: </w:t>
      </w:r>
      <w:r>
        <w:t>https://mcp.opencaselaw.ch/entscheid/bvger_C-891_2008</w:t>
      </w:r>
    </w:p>
    <w:p>
      <w:r>
        <w:t>FR: TAF C-891/2008 du 3 octobre 2008</w:t>
      </w:r>
    </w:p>
    <w:p>
      <w:r>
        <w:t>IT: TAF C-891/2008 del 3 ottobre 2008</w:t>
      </w:r>
    </w:p>
    <w:p>
      <w:pPr>
        <w:pStyle w:val="Heading2"/>
      </w:pPr>
      <w:r>
        <w:t>Regeste</w:t>
      </w:r>
    </w:p>
    <w:p>
      <w:r>
        <w:t>Assurance-invalidité (AI)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l'Office AI pour les assurés résidant à l'étranger (OAIE) concernant l'octroi de rente d'invalidité peuvent être contestées devant le Tribunal administratif fédéral (art. 69 al. 1 let. b de la loi fédérale du 19 juin 1959 sur l'assurance-invalidité [LAI, RS 831.20]).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compensations [RCC] 1989 p. 330). Même après l'entrée en vigueur de l'ALCP, le degré d'invalidité d'un assuré qui prétend une rente de l'assurance-invalidité suisse est déterminé exclusivement d'après le droit suisse (ATF 130 V 253 consid. 2.4).</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L'examen du droit à des prestations selon la LAI est régi par la teneur de la LAI au moment de la décision litigieuse eu égard au principe selon lequel les règles applicables sont celles en vigueur au moment où les faits juridiquement déterminants se sont produits (ATF 130 V 445 consid. 1.2 et les références). Les dispositions de la 5ème révision de la LAI entrées en vigueur le 1er janvier 2008 ne sont donc pas applicables.</w:t>
      </w:r>
    </w:p>
    <w:p>
      <w:r>
        <w:rPr>
          <w:b/>
        </w:rPr>
        <w:t>E. 3.3</w:t>
      </w:r>
    </w:p>
    <w:p>
      <w:r>
        <w:t>Le recourant a présenté sa demande de rente le 10 mai 2005.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10 mai 2004 (12 mois avant le dépôt de la demande) ou si le droit à une rente était né entre cette date et le 30 novembre 2007, date de la décision attaquée marquant la limite dans le temps du pouvoir d'examen de l'autorité de recours (ATF 129 V 1 consid. 1.2 et 121 V 362 consid. 1b).</w:t>
      </w:r>
    </w:p>
    <w:p>
      <w:r>
        <w:rPr>
          <w:b/>
        </w:rPr>
        <w:t>E. 4.1</w:t>
      </w:r>
    </w:p>
    <w:p>
      <w:r>
        <w:t>Selon les normes applicables, tout requérant, pour avoir droit à une rente de l'assurance-invalidité suisse, doit remplir cumulativement les conditions suivantes: *. être invalide au sens de la LPGA et de la LAI (art. 8 LPGA, 4, 28, 29 al. 1 LAI); *. compter une année entière au moins de cotisations (art. 36 al. 1 LAI).</w:t>
      </w:r>
    </w:p>
    <w:p>
      <w:r>
        <w:rPr>
          <w:b/>
        </w:rPr>
        <w:t>E. 5</w:t>
      </w:r>
    </w:p>
    <w:p>
      <w:r>
        <w:t>Le recourant a versé des cotisations à l'AVS/AI pendant plus d'une année au total et remplit donc la condition de la durée minimale de cotisations. Il reste à examiner s'il est invalide.</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6.2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6.3</w:t>
      </w:r>
    </w:p>
    <w:p>
      <w:r>
        <w:t>Conformément à l'art. 29 al. 1 LAI, le droit à une rente naît dès que l'assuré, in casu ressortissant de l'Union européenne, présente une incapacité durable de 40% au moins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99 V 98 consid. 1; 96 V 42 consid. 1).</w:t>
      </w:r>
    </w:p>
    <w:p>
      <w:r>
        <w:rPr>
          <w:b/>
        </w:rPr>
        <w:t>E. 6.4</w:t>
      </w:r>
    </w:p>
    <w:p>
      <w:r>
        <w:t>Une incapacité de travail de 20% doit être prise en compte pour le calcul de l'incapacité de travail moyenne selon l'art. 29 al. 1 let. b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7.1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w:t>
      </w:r>
    </w:p>
    <w:p>
      <w:r>
        <w:rPr>
          <w:b/>
        </w:rPr>
        <w:t>E. 7.2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115 V 133 consid. 2, 114 V 310 consid. 3c, 105 V 156 consid. 1; RCC 1991 p. 331 consid. 1c).</w:t>
      </w:r>
    </w:p>
    <w:p>
      <w:r>
        <w:rPr>
          <w:b/>
        </w:rPr>
        <w:t>E. 8.1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certaines faits présentent un degré de vraisemblance préponderante et que d'autres mesures probatoires ne pourraient plus modifier cette appréciation, il est superflu d'administrer d'autres preuves (appréciation anticipée des preuves; Ueli Kieser, ATSG-Kommentar, Zurich 2003, art. 42 n° 16 p. 424 s.; ATF 122 II 469 consid. 4a). Une telle manière de procéder ne viole pas le droit dêtre entendu selon l'art. 29 al. 2 Cst (Sozialversicherungsrecht [SVR] 2001 IV n° 10 p. 28).</w:t>
      </w:r>
    </w:p>
    <w:p>
      <w:r>
        <w:rPr>
          <w:b/>
        </w:rPr>
        <w:t>E. 8.2</w:t>
      </w:r>
    </w:p>
    <w:p>
      <w:r>
        <w:t>En vertu des art. 12 et 13 PA et de l'art. 19 PA en relation avec l'art. 40 de la loi fédérale de procédure civile fédérale du 4 décembre 1947 (PCF, RS 273), le tribunal établit avec la collaboration des parties les faits déterminants pour la solution du litige ; il administre les preuves nécessaires et les apprécie librement. Selon la jurisprudence, le juge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 162/2007 du 3 avril 2008 consid. 2.3. et références citées)</w:t>
      </w:r>
    </w:p>
    <w:p>
      <w:r>
        <w:rPr>
          <w:b/>
        </w:rPr>
        <w:t>E. 9.1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10.1</w:t>
      </w:r>
    </w:p>
    <w:p>
      <w:r>
        <w:t>Il résulte du dossier que l'intéressé n'exerce plus d'activité lucrative depuis le 26 novembre 2003. Il faut donc examiner la documentation médicale au dossier afin d'évaluer l'invalidité de l'assuré.</w:t>
      </w:r>
    </w:p>
    <w:p>
      <w:r>
        <w:rPr>
          <w:b/>
        </w:rPr>
        <w:t>E. 10.2</w:t>
      </w:r>
    </w:p>
    <w:p>
      <w:r>
        <w:t>Dans les rapports médicaux établis entre les années 2003 et 2007, il est fait notamment état de lombosciatalgies bilatérales, de status après rupture du ménisque interne du genou droit, de vertiges, d'oblitération de l'artère fémorale superficielle gauche, d'artériopathie des membres inférieurs, de dystymie légère, de diabète de type 2, d'hypertension, d'hypercholestérolémie, d'une détérioration cognitive modérée, de céphalée vasculaire. Il s'agit d'un status labile.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10.3</w:t>
      </w:r>
    </w:p>
    <w:p>
      <w:r>
        <w:t>Le Tribunal de céans constate ensuite que, en l'espèce, la Dresse K._______ dans le premier rapport médical E 213 daté du 3 mai 2005 et la Dresse Q._______ dans le deuxième rapport médical daté du 24 janvier 2007 concluent à l'incapacité de l'intéressé à exercer sa dernière activité dans la construction ainsi que tout travail nécessitant le port de choses lourdes. Elles précisent toutefois que l'assuré est à même d'accomplir des tâches moins astreignantes s'il n'est notamment pas contraint de se tenir debout de façon prolongée. Ces deux rapports ne contiennent par contre aucune indication quant à la question de savoir si une telle activité peut être exigée à plein temps ou seulement à temps partiel (pces 24 p. 8-10; pce 42 p. 8-10). Le Dr M._______ retint dans ses prises de position médicales du 12 avril 2006 et du 23 mai 2007 une incapacité de travail de 30% pour une activité de substitution adaptée, ce qu'il confirma encore implicitement dans sa dernière prise de position médicale du 20 septembre 2007 (pces 30, 46, 58).</w:t>
      </w:r>
    </w:p>
    <w:p>
      <w:r>
        <w:rPr>
          <w:b/>
        </w:rPr>
        <w:t>E. 10.4</w:t>
      </w:r>
    </w:p>
    <w:p>
      <w:r>
        <w:t>Il convient toutefois de relever que les prises de position médicales du médecin de l'office contiennent certaines divergences. En effet, dans le premier rapport médical du 12 avril 2006, le Dr M._______ retient une incapacité de travail de l'assuré de 30% pour l'exercice d'une activité de substitution dès le 26 novembre 2003 à cause du diabète et de l'atteinte artérielle (pce 30). Par contre, dans son rapport du 23 mai 2007, il met en exergue que l'accident vasculaire cérébral subi par l'assuré en mai 2005 et l'infarctus du myocarde survenu en mars 2006 n'ont laissé que de petites séquelles (pce 46). Il admet toutefois que ces affections justifient une incapacité de travail de l'assuré de 30% quant à l'exercice d'une activité de substitution adaptée. En contradiction avec le rapport médical du 12 avril 2006, il relève que le diabète et l'artériopathie n'ont pas d'incidence sur la capacité de travail de l'assuré. De plus il fixe le début de la maladie de longue durée au 19 mai 2005, date de l'hospitalisation de l'intéressé pour son accident vasculaire cérébral, alors que le rapport du 12 avril 2006 retenait la date du 26 novembre 2003. Outre ces inconséquences, le médecin de l'office ne prend pas position sur le rapport neurologique du 18 décembre 2006 établi par la Dresse P._______ faisant état d'une détérioration cognitive modérée, de syndromes indiquant une bradycinésie suite à une pathologie vasculaire, d'une céphalée vasculaire et d'une éventuelle radiculopathie et dans lequel le médecin consulté relève qu'un suivi neurologique périodique est indiqué et que, à son avis, les affections dont souffre l'assuré l'empêchent d'exercer une activité normale (pce 40). Il ne prend également pas position sur le rapport médical du 7 novembre 2006 signé par le Dr J._______ faisant état d'une pathologie vasculaire chronique et progressive avec évolution défavorable ainsi que d'un syndrome anxio-dépressif (pce 37).</w:t>
      </w:r>
    </w:p>
    <w:p>
      <w:r>
        <w:rPr>
          <w:b/>
        </w:rPr>
        <w:t>E. 10.5</w:t>
      </w:r>
    </w:p>
    <w:p>
      <w:r>
        <w:t>En conséquence, le Tribunal de céans constate que l'appréciation de la situation médicale n'est pour le moins pas claire et que les conclusions du Dr M._______ ne sont pas suffisamment motivées. Il se justifie dès lors, en application de l'art. 61 PA, de renvoyer la cause à l'OAIE pour instruction complémentaire en ce qui concerne l'état de santé du recourant et sa capacité de travail dans une activité légère et pour nouvelle décision sur le droit éventuel du recourant à une rente. Vu le caractère instable des affections dont souffre le recourant et le fait que les derniers rapports médicaux datent de plus d'une année, il convient de reconsidérer ce dossier sur la base d'une nouvelle documentation médicale incluant notamment un nouveau rapport neurologique et de nouvelles échocardiographies.</w:t>
      </w:r>
    </w:p>
    <w:p>
      <w:r>
        <w:rPr>
          <w:b/>
        </w:rPr>
        <w:t>E. 11</w:t>
      </w:r>
    </w:p>
    <w:p>
      <w:r>
        <w:t>Le recourant ayant eu partiellement gain de cause obligeant le renvoi du dossier à l'autorité inférieure, il n'est pas perçu de frais de procédure (art. 63 PA) et le montant de Fr. 300.- versé à titre d'avance de frais lui est restitué. Le recourant ayant versé par erreur Fr. 180.- de plus que la somme demandée, il lui sera restitué un montant total de Fr. 480.-.</w:t>
      </w:r>
    </w:p>
    <w:p>
      <w:r>
        <w:rPr>
          <w:b/>
        </w:rPr>
        <w:t>E. 12</w:t>
      </w:r>
    </w:p>
    <w:p>
      <w:r>
        <w:t>Le recourant ayant agi sans avoir eu recours à un représentant et n'ayant pas démontré avoir eu à supporter des frais indispensables et relativement élevés, il ne lui est pas allouée une indemnité à titre de dépens (art. 64 al. 1 PA et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