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C-883/2010 vom 14. Oktober 2010</w:t>
      </w:r>
    </w:p>
    <w:p>
      <w:r>
        <w:t>Bundesverwaltungsgericht, 2010-10-14, DE</w:t>
      </w:r>
    </w:p>
    <w:p>
      <w:r>
        <w:rPr>
          <w:b/>
        </w:rPr>
        <w:t xml:space="preserve">Quelle: </w:t>
      </w:r>
      <w:r>
        <w:t>https://mcp.opencaselaw.ch/entscheid/bvger_C-883_2010</w:t>
      </w:r>
    </w:p>
    <w:p>
      <w:r>
        <w:t>FR: TAF C-883/2010 du 14 octobre 2010</w:t>
      </w:r>
    </w:p>
    <w:p>
      <w:r>
        <w:t>IT: TAF C-883/2010 del 14 ottobre 2010</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In zeitlicher Hinsicht sind grundsätzlich diejenigen materiellen Rechtssätze massgebend, die bei der Erfüllung des zu Rechtsfolgen führenden Tatbestandes Geltung hatten (BGE 130 V 445, 127 V 467 E. 1, 126 V 136 E. 4b).</w:t>
      </w:r>
    </w:p>
    <w:p>
      <w:r>
        <w:rPr>
          <w:b/>
        </w:rPr>
        <w:t>E. 2.2</w:t>
      </w:r>
    </w:p>
    <w:p>
      <w:r>
        <w:t>Die Beschwerdeführerin ist Staatsangehörige eines Mitgliedstaates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beziehungsweise abkommensrechtlichen Regelung die Ausgestaltung des Verfahrens sowie die Prüfung der Anspruchsvoraussetzungen und die Berechnung einer schweizerischen Altersrente grundsätzlich Sache der innerstaatlichen Rechtsordnung (BGE 130 V 51 ff.; SVR 2004 AHV Nr. 16 S. 49; Urteil des Bundesgerichts [BGer] H 13/05 vom 4. April 2005, E. 1.1). Daraus folgt, dass die Verwaltung und im Beschwerdefall das Gericht den Leistungsanspruch der Beschwerdeführerin gemäss Art. 3 Abs. 1 der Verordnung (EWG) Nr. 1408/71 des Rates vom 14. Juni 1971 zur Anwendung der Systeme der sozialen Sicherheit auf Arbeitnehmer und Selbstständige sowie deren Familienangehörige, die innerhalb der Gemeinschaft zu- und abwandern (EWG-Verordnung, SR 0.831.109.268.1) grundsätzlich nach den für schweizerische Staatsangehörige geltenden Regeln zu beurteilen haben. Demnach bestimmt sich vorliegend der Anspruch der Beschwerdeführerin auf eine Rente der Alters- und Hinterlassenenversicherung nach dem internen schweizerischen Recht.</w:t>
      </w:r>
    </w:p>
    <w:p>
      <w:r>
        <w:rPr>
          <w:b/>
        </w:rPr>
        <w:t>E. 3</w:t>
      </w:r>
    </w:p>
    <w:p>
      <w:r>
        <w:t>Vorliegend ist strittig und vom Bundesverwaltungsgericht zu prüfen, ob die SAK das Leistungsbegehren der Beschwerdeführerin zu Recht abgewiesen hat.</w:t>
      </w:r>
    </w:p>
    <w:p>
      <w:r>
        <w:rPr>
          <w:b/>
        </w:rPr>
        <w:t>E. 3.1.1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Beitragszeiten zwischen dem 31. Dezember vor dem Eintritt des Versicherungsfalles und der Entstehung des Rentenanspruchs können zur Auffüllung von Beitragslücken herangezogen werden. Die in diesem Zeitraum erzielten Erwerbseinkommen werden bei der Rentenberechnung aber nicht berücksichtigt (Art. 52c der Verordnung vom 31. Oktober 1947 über die Alters- und Hinterlassenenversicherung [AHVV, SR 831.101)]. Dabei bestimmt sich die Beitragsdauer einer versicherten Person in der Regel nach den Einträgen in ihren individuellen Konten (Art. 30ter AHVG).</w:t>
      </w:r>
    </w:p>
    <w:p>
      <w:r>
        <w:rPr>
          <w:b/>
        </w:rPr>
        <w:t>E. 3.1.2</w:t>
      </w:r>
    </w:p>
    <w:p>
      <w:r>
        <w:t>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nach den nachstehenden Bestimmungen die der Alters- und Hinterlassenenversicherung entrichteten Beiträge zurückfordern, sofern diese gesamthaft während mindestens eines vollen Jahres geleistet worden sind und keinen Rentenanspruch begründen.</w:t>
      </w:r>
    </w:p>
    <w:p>
      <w:r>
        <w:rPr>
          <w:b/>
        </w:rPr>
        <w:t>E. 3.2.1</w:t>
      </w:r>
    </w:p>
    <w:p>
      <w:r>
        <w:t>Vorliegend geht aus den Akten hervor, dass die Beschwerdeführerin erst seit dem Jahr 2006 Beiträge an die AHV geleistet hat. Die im Jahr 1942 geborene Beschwerdeführerin hat im Jahr 2006 das Rentenalter (64 Jahre für Frauen, vgl. Art. 21 Abs. 1 lit. b AHVG) erreicht. Gemäss Art. 29bis Abs. 1 AHVG sind Beitragszeiten nur bis zum 31. Dezember vor Eintritt des Versicherungsfalles zu berücksichtigen (vgl. BGE 132 V 265 E. 2.6). In casu ist der Rentenfall im September 2006 eingetreten, weshalb die Beitragszeiten lediglich bis zum 31. Dezember 2005 zu berücksichtigen sind. Die SAK hat gestützt auf die erst für Jahr 2006 und spätere Jahre eingetragenen Einkommen im individuellen Konto zu Recht festgestellt, dass die Beschwerdeführerin keine rentenbegründenden Beitragszeiten aufweist und daher keinen Anspruch auf eine schweizerische Altersrente hat.</w:t>
      </w:r>
    </w:p>
    <w:p>
      <w:r>
        <w:rPr>
          <w:b/>
        </w:rPr>
        <w:t>E. 3.2.2</w:t>
      </w:r>
    </w:p>
    <w:p>
      <w:r>
        <w:t>Die Beschwerdeführerin ist österreichische Staatsangehörige mit Wohnsitz in Deutschland, so dass vorliegend - wie bereits erwähnt - das FZA anzuwenden ist. Somit besteht mit dem Heimatstaat der Beschwerdeführerin ein zwischenstaatliches Abkommen im Sinne des Art. 1 Abs. 1 RV-AHV (vgl. Art. 8 FZA), weshalb keine Rückvergütung der Beiträge erfolgen kann. Deshalb war auch das Rückvergütungsgesuch der Beschwerdeführerin abzuweisen. Ob die in der Schweiz geleisteten Beiträge allenfalls bei der Berechnung der deutschen Altersrente zu berücksichtigen sind (vgl. Art. 44 ff. EWG-Verordnung), ist vorliegend nicht zu beurteilen.</w:t>
      </w:r>
    </w:p>
    <w:p>
      <w:r>
        <w:rPr>
          <w:b/>
        </w:rPr>
        <w:t>E. 3.2.3</w:t>
      </w:r>
    </w:p>
    <w:p>
      <w:r>
        <w:t>Zusammenfassend ist festzuhalten, dass die SAK das Leistungsbegehren der Beschwerdeführerin zu Recht abgewiesen hat, da sie weder einen Rentenanspruch noch einen Anspruch auf Rückvergütung der einbezahlten Beiträge hat. Die angefochtene Verfügung ist somit zu bestätigen und die Beschwerde im einzelrichterlichen Verfahren gemäss Art. 23 Abs. 2 VGG in Verbindung mit Art. 85bis Abs. 3 AHVG abzuweisen.</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