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C-883/2008 vom 25. August 2008</w:t>
      </w:r>
    </w:p>
    <w:p>
      <w:r>
        <w:t>Bundesverwaltungsgericht, 2008-08-25, DE</w:t>
      </w:r>
    </w:p>
    <w:p>
      <w:r>
        <w:rPr>
          <w:b/>
        </w:rPr>
        <w:t xml:space="preserve">Quelle: </w:t>
      </w:r>
      <w:r>
        <w:t>https://mcp.opencaselaw.ch/entscheid/bvger_C-883_2008</w:t>
      </w:r>
    </w:p>
    <w:p>
      <w:r>
        <w:t>FR: TAF C-883/2008 du 25 août 2008</w:t>
      </w:r>
    </w:p>
    <w:p>
      <w:r>
        <w:t>IT: TAF C-883/2008 del 25 agosto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 sind zur Anfechtung der Beschwerde legitimiert; auf die frist- und formgerecht eingereichte Beschwerde ist einzutreten (Art. 48 ff. VwVG).</w:t>
      </w:r>
    </w:p>
    <w:p>
      <w:r>
        <w:rPr>
          <w:b/>
        </w:rPr>
        <w:t>E. 2</w:t>
      </w:r>
    </w:p>
    <w:p>
      <w:r>
        <w:t>Am 1. Januar 2008 traten das AuG sowie die dazugehörigen Ausführungsverordnungen in Kraft (u.a. die VEV).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 Das BFM verweist in der angefochtenen Verfügung zu Unrecht bereits auf die neurechtlichen Bestimmungen. Im Ergebnis ändert sich dadurch allerdings nichts, unterscheiden sich die früheren und heutigen materiellen Einreisevoraussetzungen doch in grundsätzlicher Hinsicht nicht (vgl. BBl 2002 3774 f.).</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4.1</w:t>
      </w:r>
    </w:p>
    <w:p>
      <w:r>
        <w:t>Ausländerinnen und Ausländer sind zur Anwesenheit in der Schweiz berechtigt, wenn sie eine Aufenthalts- oder Niederlassungsbewilligung besitzen oder keiner solchen bedürfen (Art. 1a ANAG). Gewisse Gruppen von ihnen benötigen für die Einreise in die Schweiz ein Visum (vgl. Art. 3 ff. VEA).</w:t>
      </w:r>
    </w:p>
    <w:p>
      <w:r>
        <w:rPr>
          <w:b/>
        </w:rPr>
        <w:t>E. 4.2</w:t>
      </w:r>
    </w:p>
    <w:p>
      <w:r>
        <w:t>Für die Erteilung von Einreisevisa ist das BFM zuständig (Art. 18 VEA), welches im Rahmen der gesetzlichen Vorschriften und der Verträge mit dem Ausland nach freiem Ermessen entscheidet (Art. 4 und Art. 16 Abs. 1 ANAG, Art. 9 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 BGE 133 I 185 E. 2.3 S. 189 f.).</w:t>
      </w:r>
    </w:p>
    <w:p>
      <w:r>
        <w:rPr>
          <w:b/>
        </w:rPr>
        <w:t>E. 4.3</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 Sie müssen aber auch über genügend Mittel verfügen oder sich solche verschaffen können, um ihren Lebensunterhalt während des Aufenthalts in der Schweiz zu bestreiten (Art. 1 Abs. 2 Bst. d VEA). Schliesslich ist das Visum gemäss Art. 14 Abs. 2 Bst. c in fine VEA dann zu verweigern, wenn begründete Zweifel am Aufenthaltszweck bestehen.</w:t>
      </w:r>
    </w:p>
    <w:p>
      <w:r>
        <w:rPr>
          <w:b/>
        </w:rPr>
        <w:t>E. 5</w:t>
      </w:r>
    </w:p>
    <w:p>
      <w:r>
        <w:t>Die Gesuchstellerin bedarf aufgrund ihrer Nationalität zur Einreise in die Schweiz nebst dem Pass eines Visums. Die Vorinstanz verweigerte die Erteilung eines solchen Visums mit der Begründung, weder der Gast noch das Gastgeberehepaar verfügten über ausreichende Mittel zur Finanzierung des geplanten Besuchsaufenthalts.</w:t>
      </w:r>
    </w:p>
    <w:p>
      <w:r>
        <w:rPr>
          <w:b/>
        </w:rPr>
        <w:t>E. 5.1</w:t>
      </w:r>
    </w:p>
    <w:p>
      <w:r>
        <w:t>Im vorliegenden Fall steht - wie eben erwähnt - die Befürchtung im Vordergrund, dass der Lebensunterhalt der Gesuchstellerin während ihres hiesigen Aufenthalts nicht sichergestellt sein könnte (vgl. Art. 1 Abs. 2 Bst. d VEA). Zum Lebensunterhalt im Sinne der genannten Bestimmung zählt nicht nur der Aufwand für Verpflegung und Unterkunft, vielmehr sind auch eventuell anfallende Krankheits-, Unfall- oder Rückschaffungskosten mit einzubeziehen (vgl. Urteile des Bundesverwaltungsgerichts C-951/2008 vom 7. August 2008 E. 6 und C-727/2007 vom 21. November 2007 E. 4.3). Aus diesem Grund verlangen die Kantone von den hier lebenden Gastgeberinnen und Gastgebern in der Regel finanzielle Garantien, die gemäss Art. 7 Abs. 3 VEA Fr. 20'000.- betragen (nach neuem Recht Fr. 30'000.- [vgl. Art. 7 Abs. 3 VEV]). Ein solches Vorgehen war auch im Falle der Gesuchstellerin, die in ihrer Heimat keiner Erwerbstätigkeit nachgeht, angezeigt. Auf dem Antragsformular vom 3. Dezember 2007 gab sie denn an, es sei ihre Schwester, welche für die entsprechenden Kosten aufkommen werde.</w:t>
      </w:r>
    </w:p>
    <w:p>
      <w:r>
        <w:rPr>
          <w:b/>
        </w:rPr>
        <w:t>E. 5.2</w:t>
      </w:r>
    </w:p>
    <w:p>
      <w:r>
        <w:t>Die Beschwerdeführer haben am 14. Januar 2008 eine Garantieerklärung im Sinne von Art. 7 VEA unterzeichnet. Sowohl die Wohngemeinde als auch das zuständige kantonale Migrationsamt hegen jedoch Zweifel, dass das Gastgeberehepaar im Stande ist, den damit verbundenen finanziellen Verpflichtungen nachzukommen. Sie stützen sich bei dieser Einschätzung namentlich auf einen Auszug des Betreibungsamtes R._______ vom 14. Januar 2008. Demnach wurden gegen den Beschwerdeführer in der Zeitspanne vom Dezember 2006 bis Dezember 2007 Betreibungen in der Höhe von Fr. 21'514.25 eingeleitet; zum überwiegenden Teil betreffen sie Steuerforderungen der Wohngemeinde. Aus diesem Grunde hat das Einwohneramt R._______ die erwähnte Garantieerklärung als ungenügend bzw. nicht tragfähig erachtet. Wohl geht aus den auf Beschwerdeebene nachgereichten Unterlagen hervor, dass die Gastgeber im Januar 2008 rund Fr. 8'100.- an Nettoeinkommen realisiert und eine Reiseversicherung über Fr. 50'000.- abgeschlossen haben. Die zu leistenden Garantien beschränken sich, wie an anderer Stelle dargetan, indessen nicht auf die üblichen Lebensunterhaltskosten der eingeladenen Person während ihres Aufenthalts in der Schweiz, sondern umfassen auch die versicherungsmässig nicht abgedeckten Aufwendungen für eine allfällige Rückführung bzw. Ausschaffung. Hierfür bieten die Beschwerdeführer wegen der offenen Betreibungen keine ausreichende Gewähr. Die in Kopie nachgereichte, bereits erwähnte Garantieerklärung ist von der zuständigen kantonalen oder kommunalen Amtsstelle immer noch nicht gegengezeichnet. Die finanziellen Risiken des Besuchsaufenthalts sind demnach nicht hinreichend gesichert. Damit sind die gesetzlichen Voraussetzungen für die Erteilung eines Besuchervisums (vgl. Art. 1 Abs. 2 Bst. d sowie Art. 6 bis 8 VEA) - selbst für eine kürzere Dauer - nicht erfüllt.</w:t>
      </w:r>
    </w:p>
    <w:p>
      <w:r>
        <w:rPr>
          <w:b/>
        </w:rPr>
        <w:t>E. 5.3</w:t>
      </w:r>
    </w:p>
    <w:p>
      <w:r>
        <w:t>Bei dieser Sachlage erübrigt es sich, auf die Behauptungen der Gesuchstellerin, sie habe die Schweiz bereits dreimal besucht und sei jeweils rechtzeitig wieder in ihre Heimat zurückgekehrt (vgl. die zu Handen der Schweizervertretung in Skopje abgegebene Stellungnahme vom 21. November 2007) näher einzugehen.</w:t>
      </w:r>
    </w:p>
    <w:p>
      <w:r>
        <w:rPr>
          <w:b/>
        </w:rPr>
        <w:t>E. 6</w:t>
      </w:r>
    </w:p>
    <w:p>
      <w:r>
        <w:t>Aufgrund dieser Darlegungen ist nicht zu beanstanden, dass die Vorinstanz das öffentliche Interesse sowie die Beachtung der geltenden Bestimmungen entsprechend gewichtete und der Gesuchstellerin die Einreise verweigerte. Die angefochtene Verfügung verletzt - im Ergebnis -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Bei diesem Ausgang des Verfahrens sind den Beschwerdeführern die Kosten aufzuerlegen (Art. 63 Abs. 1 VwVG i.V.m. Art. 1, Art. 2 und Art. 3 Bst. b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