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C-8834/2010 vom 21. Juni 2011</w:t>
      </w:r>
    </w:p>
    <w:p>
      <w:r>
        <w:t>Bundesverwaltungsgericht, 2011-06-21, DE</w:t>
      </w:r>
    </w:p>
    <w:p>
      <w:r>
        <w:rPr>
          <w:b/>
        </w:rPr>
        <w:t xml:space="preserve">Quelle: </w:t>
      </w:r>
      <w:r>
        <w:t>https://mcp.opencaselaw.ch/entscheid/bvger_C-8834_2010</w:t>
      </w:r>
    </w:p>
    <w:p>
      <w:r>
        <w:t>FR: TAF C-8834/2010 du 21 juin 2011</w:t>
      </w:r>
    </w:p>
    <w:p>
      <w:r>
        <w:t>IT: TAF C-8834/2010 del 21 giugno 2011</w:t>
      </w:r>
    </w:p>
    <w:p>
      <w:pPr>
        <w:pStyle w:val="Heading2"/>
      </w:pPr>
      <w:r>
        <w:t>Regeste</w:t>
      </w:r>
    </w:p>
    <w:p>
      <w:r>
        <w:t>Schengen-Visum</w:t>
      </w:r>
    </w:p>
    <w:p>
      <w:pPr>
        <w:pStyle w:val="Heading2"/>
      </w:pPr>
      <w:r>
        <w:t>Erwägungen</w:t>
      </w:r>
    </w:p>
    <w:p>
      <w:r>
        <w:rPr>
          <w:b/>
        </w:rPr>
        <w:t>E. 1</w:t>
      </w:r>
    </w:p>
    <w:p>
      <w:r>
        <w:t>Aufgrund des engen persönlichen und sachlichen Zusammenhangs sind die Verfahren mit den Referenzen C-8834/2010 und C-8885/2010 zu vereini­gen.</w:t>
      </w:r>
    </w:p>
    <w:p>
      <w:r>
        <w:rPr>
          <w:b/>
        </w:rPr>
        <w:t>E. 2.1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2.2</w:t>
      </w:r>
    </w:p>
    <w:p>
      <w:r>
        <w:t>Sofern das Verwaltungsgerichtsgesetz nichts anderes bestimmt, rich­tet sich das Verfahren vor dem Bundesverwaltungs­gericht nach dem VwVG (Art. 37 VGG).</w:t>
      </w:r>
    </w:p>
    <w:p>
      <w:r>
        <w:rPr>
          <w:b/>
        </w:rPr>
        <w:t>E. 2.3</w:t>
      </w:r>
    </w:p>
    <w:p>
      <w:r>
        <w:t>Die Beschwerdeführerin ist gemäss Art. 48 Abs. 1 VwVG zur Be­schwerde berechtigt. Auf die frist- und formgerecht eingereichte Be­schwerde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 BGE 135 II 369 E. 3.3).</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5</w:t>
      </w:r>
    </w:p>
    <w:p>
      <w:r>
        <w:t>Die inländischen Bestimmungen über das Visumsverfahren und über die Ein- und Ausreise finden Anwendung, sofern die Schengen-Assozi­ierungs­abkommen keine abweichenden Bestimmungen enthalten (vgl. Art. 2 Abs. 4 und 5 AuG).</w:t>
      </w:r>
    </w:p>
    <w:p>
      <w:r>
        <w:rPr>
          <w:b/>
        </w:rPr>
        <w:t>E. 6.1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6.2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6.4</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Sri Lanka zu diesen Staaten zählt, unter­liegen die Gesuchsteller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soziokulturelle Situation Sri Lankas ist noch immer durch den - mit Unterbrechungen - 26 Jahre währenden und erst im Mai 2009 beende­ten Bürgerkrieg geprägt. Der tamilische Norden und Osten des Lan­des sind in ihrer Entwicklung zurückgeworfen und beim wirtschaftli­chen Wieder­aufbau sowohl auf erhebliche Hilfe der eigenen Regierung als auch auf inter­nationale Unterstützung an­gewiesen. Von den rund 300'000 Binnenflüchtlingen, die in den letzten Monaten des Bürgerkriegs im kontinuierlich schrumpfenden Kampfgebiet eingeschlossen waren und danach zwangsweise in Lagern untergebracht wurden, konnten noch nicht alle an ihre Heimatorte zurückkehren; rund 18'000 sind weiterhin in mittlerweile offenen Lagern, ein grosser Teil auch bei Gastfamilien unterge­bracht. Ihre Rücksiedlung in die Heimatorte gehört zu den vordring­lichsten innenpolitischen Aufgaben. Zudem hat das Ende des Bür­gerkriegs die Diskussion um eine politische Lösung für den ethni­schen Konflikt zwischen der singhalesischen Bevölkerungsmehrheit und der sich diskriminiert fühlenden tamilischen Minderheit wieder entfacht. Der­zeit scheint eine sol­che Lösung jedoch noch in weiter Ferne zu liegen, nicht zuletzt auch deshalb, weil der amtierende Präsident zwar eine Mitspra­chemöglichkeit der tamilischen Bevölkerung in Regierungsfragen in Aussicht gestellt, bis anhin aber nicht umgesetzt hat (Quelle: Deut­sches Auswärtiges Amt, http://www.auswaertiges-amt.de&gt;, Länder, Reise und Sicher­heit &gt; Sri Lanka &gt; Innenpolitik, Stand: März 2011, be­sucht im Juni 2011; vgl. auch Rainer Mattern, Schweizeri­sche Flüchtlings­hilfe, Sri Lanka: Aktuelle Situation, Update vom 1. Dezember 2010).</w:t>
      </w:r>
    </w:p>
    <w:p>
      <w:r>
        <w:rPr>
          <w:b/>
        </w:rPr>
        <w:t>E. 7.4</w:t>
      </w:r>
    </w:p>
    <w:p>
      <w:r>
        <w:t>Vor diesem Hintergrund besteht erfahrungsgemäss häufig der Wunsch zur Auswanderung, welcher sich vor allem bei jüngeren und unge­bundenen Menschen manifestiert. Aber auch sozial ein­gebundene Menschen und solche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Sri Lanka sowohl im Jahre 2009 mit 1'415 Gesuchen als auch im Jahre 2010 mit immerhin noch 939 Gesuchen jeweils die drittgrösste Gruppe von Asylsu­chenden stell­ten (vgl. kommentierte Asylstatistik 2009 und 2010, je S. 3 und 10; im Internet unter: http://www.bfm.admin.ch , Themen Statistiken).</w:t>
      </w:r>
    </w:p>
    <w:p>
      <w:r>
        <w:rPr>
          <w:b/>
        </w:rPr>
        <w:t>E. 7.5</w:t>
      </w:r>
    </w:p>
    <w:p>
      <w:r>
        <w:t>In Anbetracht des erst vor zwei Jahren beendeten Bürger­kriegs, der viel­fältigen Probleme der tamilischen Bevölkerung in Sri Lanka und der gros­sen Anzahl Asylsuchender aus diesem Staat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generell anzuneh­mende Risiko entscheidend zu relativieren ver­mag.</w:t>
      </w:r>
    </w:p>
    <w:p>
      <w:r>
        <w:rPr>
          <w:b/>
        </w:rPr>
        <w:t>E. 8.1</w:t>
      </w:r>
    </w:p>
    <w:p>
      <w:r>
        <w:t>Bei den aus dem Norden Sri Lankas (Distrikt Jaffna) und somit aus ei­nem Krisengebiet stammenden Gesuchsteller handelt es sich um ein im Rentenalter stehendes Ehepaar, welches gemäss den Angaben der Be­schwerdeführerin einen Bauernhof mit fünf Angestellten leiten soll. Nicht an­zunehmen ist, dass der Gesuchsteller mit seinen 74 Jahren - von sei­ner Ehefrau als krank und nicht allein reisefähig bezeichnet (vgl. deren Schreiben an die Schweizervertretung vom 9. Juli 2010) - einen wesentli­chen Beitrag zum Lebensunterhalt seiner Familie zu leisten vermag. Die Be­schwerdeführerin weist denn auch darauf hin, dass während des Aus­landaufenthaltes ihrer Eltern einer der Mitarbeiter die Leitung des Bauernbe­triebes übernehmen werde. Insofern kann fraglos nicht von zwin­genden beruflichen Verpflichtungen im Heimatland, die die Eingelade­nen verlässlich von einer Emigration abzuhalten vermöchten, aus­gegangen werden.</w:t>
      </w:r>
    </w:p>
    <w:p>
      <w:r>
        <w:rPr>
          <w:b/>
        </w:rPr>
        <w:t>E. 8.2</w:t>
      </w:r>
    </w:p>
    <w:p>
      <w:r>
        <w:t>Die Beschwerdeführerin verweist hingegen auf das persönliche Um­feld der Gesuchsteller und bringt in diesem Zusammenhang vor, ihre El­tern hätten in ihrem Heimatland bedeutende familiäre Verantwortlichkei­ten wahrzunehmen, liessen sie doch nebst weiteren Kindern und Geschwis­tern noch Enkelkinder in Sri Lanka zurück, die sie teilweise betreuen würden. Einmal davon abgesehen, dass zu diesen Verwandten keine näheren Angaben gemacht wurden, vermag das obgenannte Argu­ment nach Ansicht des Bundesverwaltungsgerichts schon deshalb nicht zu überzeugen, weil der Umstand, dass gleich eine mehrmonatige Landes­abwesenheit geplant ist, nicht ohne weiteres darauf schliessen lässt, die Präsenz der Gesuchsteller sei für die Belange ihrer Familie unver­zichtbar; aufgrund der Aktenlage ist eher davon auszugehen, die von ihnen geleistete Unterstützung in Familie und Haushalt könne durch­aus für längere Zeit auch auf andere Weise sichergestellt werden. Anderer­seits zeigt die Erfahrung, dass zurückbleibende Angehörige ge­rade in Situationen angespannter politischer bzw. wirtschaftlicher Verhält­nisse nicht verlässlich davon abhalten können, den Entschluss für eine Emig­ration zu fällen.</w:t>
      </w:r>
    </w:p>
    <w:p>
      <w:r>
        <w:rPr>
          <w:b/>
        </w:rPr>
        <w:t>E. 8.3</w:t>
      </w:r>
    </w:p>
    <w:p>
      <w:r>
        <w:t>Andererseits verfügen die Eingeladenen, die gemeinsam um Einreise in die Schweiz ersuchen, mit ihrer hierzulande lebenden Tochter, dem Schwiegersohn sowie den Enkelkindern sowie mit dem in der Roman­die le­benden (eingebürgerten) Sohn und dessen Fami­lie bereits über engste Be­zugspersonen in der Schweiz. In diesem Zu­sammenhang gilt es insbe­sondere dem Umstand Rechnung zu tragen, dass nicht nur diese beiden Kinder, sondern gemäss den Abklärungen der Schweizerischen Botschaft in Colombo offenbar auch sämtliche Ge­schwister der Gesuchsteller ihr Hei­matland definitiv verlassen haben und nach Westeuropa (Frankreich) übersiedelt sind, woraus auf ei­nen konkreten Migrationswillen im nächs­ten Umfeld der Ein­geladenen ge­schlossen werden kann. Vor diesem Hinter­grund müssen die Be­teuerun­gen auf Beschwerdeebene, die Ge­suchsteller würden die Schweiz nach ih­rem Besuchsaufenthalt fristge­recht wie­der ver­lassen, als nicht ausschlag­gebend bezeich­net werden.</w:t>
      </w:r>
    </w:p>
    <w:p>
      <w:r>
        <w:rPr>
          <w:b/>
        </w:rPr>
        <w:t>E. 8.4</w:t>
      </w:r>
    </w:p>
    <w:p>
      <w:r>
        <w:t>Nicht zuletzt altersbedingte gesundheitliche Probleme, aber auch die misslichen Verhältnisse im Heimat­land bergen ein erhöhtes Risiko in sich, die Gesuchsteller könnten nach ei­nem mehrmonatigen Aufenthalt in der Schweiz geneigt sein, den Lebens­abend im Umfeld ihrer in der Schweiz le­benden nächsten Angehö­rigen zu verbringen oder sich über die be­an­tragte Visumsdauer hinaus hierzulande aufzuhalten. Insofern könnten ge­wisse Fest­setzungs­tendenzen bestehen und demzufolge begründete Zwei­fel am deklarierten Aufenthaltszweck (Besuchsaufenthalt; vgl. Art. 15 Abs. 1 Bst. b i.V.m. Art. 16 und Art. 12 Abs. 2 Bst. c in fine VEV) berech­tigt sein. Diese Einschätzung wird noch durch die Tatsache bestärkt, dass die Gesuchstellerin in der erwähnten Eingabe an die Schweizervertretung (vgl. E. 8.1. hievor) explizit auf den schlechten Gesundheitszustand ihres Ehegatten hingewiesen hat.</w:t>
      </w:r>
    </w:p>
    <w:p>
      <w:r>
        <w:rPr>
          <w:b/>
        </w:rPr>
        <w:t>E. 9.1</w:t>
      </w:r>
    </w:p>
    <w:p>
      <w:r>
        <w:t>Aufgrund dieser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 Ein solcher Anspruch lässt sich ebenso wenig aus allenfalls frü­her erteilten Einreisevisa ableiten, hat sich doch mit der veränderten all­gemeinen Sicherheitslage, die sich in den letzten Jahren ins­besondere im Norden Sri Lankas verschlechterte, die Sachlage seit dem letzten Be­suchsaufenthalt im Jahre 2002 wesentlich verändert; auch deshalb, weil da­mals - gemäss den Angaben im elektronischem Visa-System "EVA" - of­fenbar nur dem Gesuchsteller, jedoch nicht seiner Ehegattin, eine Einrei­sebewilligung erteilt worden ist. Nunmehr ersuchen die Eingelade­nen gemeinsam um Einreise in die Schweiz, womit sich alle massgebli­chen Bezugspersonen in der Schweiz befänden.</w:t>
      </w:r>
    </w:p>
    <w:p>
      <w:r>
        <w:rPr>
          <w:b/>
        </w:rPr>
        <w:t>E. 9.2</w:t>
      </w:r>
    </w:p>
    <w:p>
      <w:r>
        <w:t>An der Richtigkeit der obgenannten Einschätzung ändert auch die Tat­sache nichts, dass die Beschwerdeführerin die rechtzeitige Rückkehr ih­rer Eltern zugesichert hat. Die Integrität der Beschwerdeführerin in ihrer Ei­genschaft als Gastgeberin wird auch gar nicht in Zweifel gezogen. Indes­sen sind bei der Abwägung des Risikos einer nicht fristgerechten Wie­derausreise nicht so sehr die Einstellung und die Ab­sichten der Gastge­ber, sondern in erster Linie das mögliche Verhalten der Gäste selbst von Bedeutung. Nur Letztere sind in der Lage, hinrei­chend Ge­währ für eine fristgerechte und anstandslo­se Wiederausreise zu bie­ten. Die Gast­ge­ber können zwar für gewisse finanzielle Risi­ken (Lebensunter­halts­kosten während des Be­suchsaufenthaltes, allfäl­lige Kosten für Unfall und Krankheit sowie Rückreisekosten) Garantie leisten, nicht aber - man­gels rechtlicher und fak­tischer Durchsetzbar­keit - für ein be­stimmtes Ver­halten ihrer Gäste (vgl. BVGE 2009/27 E. 9). Insofern erweist sich der Vor­schlag der Beschwerdeführerin, eine grössere Geldsumme als Kau­tion zu hinterlegen, als unbehelflich. Der (durchaus verständliche) Wunsch der Beschwerdeführerin, ihren Eltern das Lebensumfeld in der Schweiz zeigen zu können, hat somit in den Hintergrund zu treten.</w:t>
      </w:r>
    </w:p>
    <w:p>
      <w:r>
        <w:rPr>
          <w:b/>
        </w:rPr>
        <w:t>E. 9.3</w:t>
      </w:r>
    </w:p>
    <w:p>
      <w:r>
        <w:t>Darüber hinaus bestehen schliesslich auch keine Hinweise dafür, dass die Ein­reiseverweigerung in den Schutz­bereich des Privat- und Familienle­bens eingreifen würde (Art. 13 der Bundesverfassung der Schweizeri­schen Eidgenos­senschaft vom 18. April 1999 [BV, SR 101] und Art. 8 der Konvention zum Schutze der Menschenrechte und Grundfreiheiten vom 4. Novem­ber 1950 [EMRK, SR 0.101]), verleiht doch keine dieser Bestimmun­gen einen Anspruch auf Einreise oder auf Verwirklichung des Familien­lebens an einem be­stimmten Ort (vgl. BGE 135 I 153 E. 2.1 mit Hin­weisen; ferner Stephan Breitenmoser, in: Bern­hard Eh­renzeller/Philippe Mastronardi/Rainer J. Schweizer/Klaus A. Vallender [Hrsg.], Die schweizeri­sche Bundesverfassung, Zürich 2002, N. 25 zu Art. 13; Arthur Haefliger/Frank Schür­mann, Die Europäische Menschenrechtskonven­tion und die Schweiz, Die Bedeu­tung der Konven­tion für die schweize­rische Rechtspraxis, 2. Aufl., Bern 1999, S. 261). Von einem rechtferti­gungsbedürftigen Grundrechts­eingriff könnte - wenn über­haupt - al­lenfalls dann ausge­gangen werden, wenn die Wahrnehmung fami­liärer Kontakte in zumut­barer Weise nur durch Besuche der Ge­suchsteller in der Schweiz zu verwirklichen wäre, was in casu nicht zutrifft. Der mittlerweile mit ihren Kindern in der Schweiz eingebürgerten Beschwerdeführerin steht grundsätzlich die Möglichkeit offen, ihre Eltern - zu gegebener Zeit - in Sri Lanka zu besuchen.</w:t>
      </w:r>
    </w:p>
    <w:p>
      <w:r>
        <w:rPr>
          <w:b/>
        </w:rPr>
        <w:t>E. 10</w:t>
      </w:r>
    </w:p>
    <w:p>
      <w:r>
        <w:t>Aus den dargelegten Gründen ist nicht zu beanstanden, dass die Vor­in­stanz das öffentliche Interesse sowie die Beachtung der geltenden Be­stim­mungen entsprechend gewichtete und den Gesuch­stellern die Ein­reise verweigerte. Die angefochtene Verfügung ist somit im Ergebnis recht­mässig (Art. 49 VwVG). Die Beschwerde ist demzufolge abzuwei­sen.</w:t>
      </w:r>
    </w:p>
    <w:p>
      <w:r>
        <w:rPr>
          <w:b/>
        </w:rPr>
        <w:t>E. 11</w:t>
      </w:r>
    </w:p>
    <w:p>
      <w:r>
        <w:t>Entsprechend dem Ausgang des Verfahrens wird die unter­liegende Be­schwerdeführerin kostenpflichtig (Art. 63 Abs. 1 VwVG). Die Ver­fahrenskos­ten sind auf Fr. 700.- festzusetzen (Art. 1 ff. des Regle­ments über die Kos­ten und Entschädigungen vor dem Bundesverwaltungs­ge­richt vom 21. Februar 2008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