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C-87/2013 vom 13. Mai 2014</w:t>
      </w:r>
    </w:p>
    <w:p>
      <w:r>
        <w:t>Bundesverwaltungsgericht, 2014-05-13, FR</w:t>
      </w:r>
    </w:p>
    <w:p>
      <w:r>
        <w:rPr>
          <w:b/>
        </w:rPr>
        <w:t xml:space="preserve">Quelle: </w:t>
      </w:r>
      <w:r>
        <w:t>https://mcp.opencaselaw.ch/entscheid/bvger_C-87_2013</w:t>
      </w:r>
    </w:p>
    <w:p>
      <w:r>
        <w:t>FR: TAF C-87/2013 du 13 mai 2014</w:t>
      </w:r>
    </w:p>
    <w:p>
      <w:r>
        <w:t>IT: TAF C-87/2013 del 13 maggio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3</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5.1</w:t>
      </w:r>
    </w:p>
    <w:p>
      <w:r>
        <w:t>Le recourant a travaillé en Suisse de 1974 à 2010. Depuis son licenciement par son dernier employeur, il n'exerce plus d'activité lucrative.</w:t>
      </w:r>
    </w:p>
    <w:p>
      <w:r>
        <w:rPr>
          <w:b/>
        </w:rPr>
        <w:t>E. 5.2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7.1</w:t>
      </w:r>
    </w:p>
    <w:p>
      <w:r>
        <w:t>En l'espèce, dans la décision du 19 novembre 2012, l'OAIE a rejeté la demande de prestations de l'assuré parce que la dernière activité de l'assuré ou toute autre activité adaptée à son état de santé restait exigible avec un rendement de 80 %.</w:t>
      </w:r>
    </w:p>
    <w:p>
      <w:r>
        <w:rPr>
          <w:b/>
        </w:rPr>
        <w:t>E. 7.2</w:t>
      </w:r>
    </w:p>
    <w:p>
      <w:r>
        <w:t>Compte tenu des pièces médicales versées au dossier, le Tribunal de céans ne peut que se rallier à l'avis du service médical de l'assurance-invalidité selon lequel l'assuré garde une capacité de travail à plein temps dans une activité adaptée avec un rendement de 80 % et non 100 % pour tenir compte du besoin de pauses plus élevé.</w:t>
      </w:r>
    </w:p>
    <w:p>
      <w:r>
        <w:rPr>
          <w:b/>
        </w:rPr>
        <w:t>E. 7.3</w:t>
      </w:r>
    </w:p>
    <w:p>
      <w:r>
        <w:t>Dans ses écritures le recourant a argué que son état de santé s'était aggravé depuis l'expertise rhumatologique du Dr F._______ effectuée le 10 janvier 2011 et a demandé l'octroi d'une demi-rente d'invalidité. 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d'une capacité de travail à plein temps dans une activité adaptée avec un rendement de 80 % n'a pas lieu d'être mise en doute. Dans son rapport du 7 janvier 2013, le Dr. I._______ a confirmé les diagnostics déjà connus et déploré que l'assuré n'ait pas subi d'intervention chirurgicale depuis les examens de 2010 et 2011. Le Tribunal constate que les pièces médicales versées au dossier ne contiennent aucun indice parlant en faveur d'une aggravation de l'état de santé de l'assuré après l'expertise du Dr F._______ et que les conclusions de cette expertise, qui respecte toutes les conditions posées par la jurisprudence, reste donc valable. Le Tribunal retient donc que l'assuré peut exercer une activité adaptée à plein temps avec un rendement de 80 %.</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9.1</w:t>
      </w:r>
    </w:p>
    <w:p>
      <w:r>
        <w:t>En l'espèce il y a ainsi lieu de procéder à une évaluation de l'invalidité selon la méthode générale. En effet, l'intéressé a cessé en 2010 son activité lucrative et n'a pas repris une autre activité depuis lors. Dans sa comparaison de revenus du 11 avril 2011 (AI pce 53), l'OAIE s'est basé pour le revenu sans invalidité sur les indications du dernier employeur et pour le revenu d'invalide sur les données de l'OFS et a retenu un salaire annuel sans invalidité de CHF 66'969.57 et, après un abattement de 20 % pour pauses supplémentaires et de plus de 10 % pour d'autres raisons, un salaire annuel d'invalide de CHF 45'794.75, ce qui correspond à une diminution de gain de 31,62 %. L'assuré fait certes valoir un abattement de 25 %, mais il semble ne pas avoir réalisé que l'OAIE a déjà procédé à une déduction globale de plus de 30 %. Une déduction encore plus favorable à l'assuré n'est donc pas possible. Le degré d'invalidité dans la dernière activité ou toute autre activité adaptée étant inférieure à 40 %, le recours doit être rejeté et la décision attaquée confirmée.</w:t>
      </w:r>
    </w:p>
    <w:p>
      <w:r>
        <w:rPr>
          <w:b/>
        </w:rPr>
        <w:t>E. 9.2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10.2</w:t>
      </w:r>
    </w:p>
    <w:p>
      <w:r>
        <w:t>Le recourant est au bénéfice de l'assistance judiciaire. Son représentant a produit le 26 mars 2014 une note d'honoraire d'un montant de CHF 4'496.50 correspondant à 16 heures de travail à CHF 270.- ainsi qu'à des débours de CHF 176.50. Le Tribunal constate que l'avocat a produit deux mémoires: un recours comportant 8 pages et une réplique de 3 pages. Vu le travail nécessaire pour la défense du recourant et la difficulté du cas, qui n'était pas particulièrement élevée, le Tribunal considère que 10 heures de travail à 250 francs ont été nécessaires. Au regard de l'art. 11 al. 2 FITAF, disposant que les photocopies peuvent être facturées au prix de 50 centimes par page, et du dossier de l'autorité inférieure (y compris dossier de l'assureur perte de gain et SUVA), il appert que le montant réclamé pour débours de CHF 176.50 est justifié. Le Tribunal alloue donc au représentant une indemnité globale de dépens de CHF 2'676.50 sans TVA car le recourant est domicilié à l'étranger (cf. entre autres arrêt du Tribunal administratif fédéral C-6248/2001 du 25 juillet 2012 consid. 12.2.5).</w:t>
      </w:r>
    </w:p>
    <w:p>
      <w:r>
        <w:rPr>
          <w:b/>
        </w:rPr>
        <w:t>E. 10.3</w:t>
      </w:r>
    </w:p>
    <w:p>
      <w:r>
        <w:t>Le recourant bénéficiant de l'assistance judiciaire,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