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C-879/2012 vom 11. Juni 2013</w:t>
      </w:r>
    </w:p>
    <w:p>
      <w:r>
        <w:t>Bundesverwaltungsgericht, 2013-06-11, DE</w:t>
      </w:r>
    </w:p>
    <w:p>
      <w:r>
        <w:rPr>
          <w:b/>
        </w:rPr>
        <w:t xml:space="preserve">Quelle: </w:t>
      </w:r>
      <w:r>
        <w:t>https://mcp.opencaselaw.ch/entscheid/bvger_C-879_2012</w:t>
      </w:r>
    </w:p>
    <w:p>
      <w:r>
        <w:t>FR: TAF C-879/2012 du 11 juin 2013</w:t>
      </w:r>
    </w:p>
    <w:p>
      <w:r>
        <w:t>IT: TAF C-879/2012 del 11 giugno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gemäss Art. 48 Abs. 1 VwVG zur Beschwerde berechtigt.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und 2011/43 E. 6.1).</w:t>
      </w:r>
    </w:p>
    <w:p>
      <w:r>
        <w:rPr>
          <w:b/>
        </w:rPr>
        <w:t>E. 3</w:t>
      </w:r>
    </w:p>
    <w:p>
      <w:r>
        <w:t>Die angefochtene Verfügung bezieht sich auf das Visumsgesuch einer sri-lankischen Staatsangehörigen, die für drei Monate zu einem Besuchsaufenthalt in die Schweiz einreisen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Sri Lanka zu diesen Staaten zählt, unterliegt die Gesuchstellerin der Visumspflicht.</w:t>
      </w:r>
    </w:p>
    <w:p>
      <w:r>
        <w:rPr>
          <w:b/>
        </w:rPr>
        <w:t>E. 5.2</w:t>
      </w:r>
    </w:p>
    <w:p>
      <w:r>
        <w:t>Im vorliegenden Fall hat die Vorinstanz bezweifelt, dass die Gesuchstellerin die Schweiz bzw. den Schengen-Raum wieder anstandslos verlassen würde und dies mit der allgemeinen Lage in ihrem Heimatland und ihren persönlichen Verhältnissen begründet. Zu der somit im Vordergrund stehenden Frage der gesicherten Wiederausreise könnten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 dauernden Verbleibs als hoch eingeschätzt werden.</w:t>
      </w:r>
    </w:p>
    <w:p>
      <w:r>
        <w:rPr>
          <w:b/>
        </w:rPr>
        <w:t>E. 6.1</w:t>
      </w:r>
    </w:p>
    <w:p>
      <w:r>
        <w:t>Die Wirtschaft Sri Lankas befindet sich im Aufschwung. Im Jahr 2011 belief sich das reale Wirtschaftswachstum auf 8,3 Prozent, das stärkste Wirtschaftswachstum seit 32 Jahren; für 2012 wurde aufgrund notwendiger fiskalpolitischer Massnahmen immerhin ein Wachstum von 7 Prozent veranschlagt. Die Arbeitslosigkeit nahm von 4,9 Prozent im Jahr 2010 auf 4,2 Prozent im Jahr 2011 ab, wobei diese Zahlen die Nordprovinz nicht berücksichtigen. Problematisch ist demgegenüber die Jugendarbeitslosigkeit, die sich auf ca. 19 Prozent beläuft (Quelle: Deutsches Auswärtiges Amt, http://www.auswaertiges-amt.de, Länderinformationen Sri Lanka Wirtschaft, Stand November 2012, besucht im März 2013). Die innenpolitische Situation des Landes wird in erster Linie durch die Werte der singhalesischen Mehrheit bestimmt. Der im Mai 2009 zu Ende gegangene Bürgerkrieg hat die Diskussion um eine politische Lösung für den ethnischen Konflikt zwischen den Singhalesen und der sich diskriminiert fühlenden tamilischen Minderheit wieder entfacht. Eine solche Lösung zeichnet sich allerdings nicht so bald ab, da eine Aufarbeitung des Konflikts und seiner Ursachen bisher nicht stattgefunden hat. Die Sicherheit von Personen tamilischer Ethnie ist vor allem im Norden und Osten des Landes immer noch gefährdet; Tamilen sind aber auch in Colombo Übergriffen von Polizei und Sicherheitskräften ausgesetzt (Quelle: Schweizerische Flüchtlingshilfe, http://www.fluechtlingshilfe.ch Herkunftsländer Asien - Pazifik Sri Lanka Sri Lanka: Aktuelle Situation, Update von Adrian Schuster, 15. November 2012). Die schwierige Lage der tamilischen Minderheit spiegelt sich im Übrigen in der schweizerischen Asylstatistik wieder. Ihr zufolge stellten Personen aus Sri Lanka noch im Jahr 2010 mit 939 Gesuchen die drittgrösste Gruppe von Asylsuchenden; nachdem sich die Zahl der Gesuche im Jahr 2011 halbiert hatte, ist sie mit knapp 500 Gesuchen im Jahr 2012 wieder leicht angestiegen (Quelle: Bundesamt für Migration, http://www.bfm.admin.ch &gt; Dokumentation &gt; Zahlen und Fakten &gt; Asylstatistik &gt; Jahresstatistiken &gt; Kommentierte Asylstatistik 2010 S. 3 und Kommentierte Asylstatistik 2011 S. 4 sowie Kommentierte Asylstatistik 2012 S. 11).</w:t>
      </w:r>
    </w:p>
    <w:p>
      <w:r>
        <w:rPr>
          <w:b/>
        </w:rPr>
        <w:t>E. 6.2</w:t>
      </w:r>
    </w:p>
    <w:p>
      <w:r>
        <w:t>Vor diesem Hintergrund ist nachvollziehbar, dass sich ein Wunsch nach Auswanderung vor allem bei jenen Angehörigen der tamilischen Minderheit manifestiert, die bereits über ein minimales Beziehungsnetz im Ausland verfügen.</w:t>
      </w:r>
    </w:p>
    <w:p>
      <w:r>
        <w:rPr>
          <w:b/>
        </w:rPr>
        <w:t>E. 7</w:t>
      </w:r>
    </w:p>
    <w:p>
      <w:r>
        <w:t>Die in Colombo lebende Gesuchstellerin ist tamilischer Ethnie. Sie hat bereits erfolglos in den Jahren 2009 und 2010 jeweils ein Einreisevisum in die Schweiz beantragt.</w:t>
      </w:r>
    </w:p>
    <w:p>
      <w:r>
        <w:rPr>
          <w:b/>
        </w:rPr>
        <w:t>E. 7.1</w:t>
      </w:r>
    </w:p>
    <w:p>
      <w:r>
        <w:t>Die Situation der tamilischen Bevölkerung hat sich seitdem - d.h. mit der Beendigung des im Jahr 2002 zwischen der Regierung und den LTTE (Liberation Tigers of Tamil Eelam) unterzeichneten Waffenstillstands und mit dem Beginn der militärischen Grossoffensive im Juli 2006, die schliesslich zum Sieg über die LTTE im Mai 2009 führte - verschlechtert, erkennbar auch daran, dass in den Jahren 2005 und 2006 nur 277 bzw. 351 Asylgesuche von Personen aus Sri Lanka in der Schweiz gestellt wurden (Quelle: Bundesamt für Migration, http://www.bfm.admin.ch Dokumentation Zahlen und Fakten Asylstatistik Jahresstatistiken Asylstatistik 2005 und Asylstatistik 2006). Bis heute stellen Staatsangehörige von Sri Lanka in den Asylstatistiken eine bedeutende Gruppe dar. So befand sich das Land im ersten Quartal 2013 mit 3'434 Personen im Asylprozess nach Eritrea, Somalia und Afghanistan an vierter Stelle. Die vom Beschwerdeführer - selbst ehemaliger Asylbewerber - zugesicherte Wiederausreise seiner Mutter kann angesichts dieser Einschätzung zu keinem anderen Ergebnis führen.</w:t>
      </w:r>
    </w:p>
    <w:p>
      <w:r>
        <w:rPr>
          <w:b/>
        </w:rPr>
        <w:t>E. 7.2</w:t>
      </w:r>
    </w:p>
    <w:p>
      <w:r>
        <w:t>Der Beschwerdeführer hat nebst den im Rahmen der Inlandabklärung unterzeichneten Garantien lediglich einen Grund genannt, der aus seiner Sicht für die fristgerechte Wiederausreise seines Gastes bzw. seiner Mutter spricht. Er hat deren derzeitige Lebenssituation allerdings kaum umschrieben und lediglich die familiäre Bindung bzw. ihre Verantwortung gegenüber der Mutter (Grossmutter) betont. Diese vage Behauptung ist für sich genommen nicht überzeugend und lässt nicht darauf schliessen, dass realistische Verantwortlichkeiten zuhause die Gesuchstellerin von einer Emigration nach Europa abhalten könnten. Ihre angeblichen Betreuungsaufgaben, welche lediglich sie wahrnehmen könne, werfen nämlich die Frage auf, wie ein dreimonatiger Auslandsaufenthalt mit diesen Verpflichtungen vereinbar ist. Die Tatsache, dass die Gesuchstellerin nicht bloss einen Aufenthalt von einigen Wochen, sondern gleich von drei Monaten anstrebt, legt den Schluss nahe, dass die Präsenz der Gesuchstellerin zwecks Pflege ihrer Mutter für die Familie nicht unverzichtbar ist. Die Vermutung, dass die Gesuchstellerin mit ihrer Einreise in die Schweiz andere Zwecke als einen Besuchsaufenthalt verfolgen könnte, ist daher - mit Blick auf den Migrationshintergrund ihrer nächsten Familienangehörigen - nicht von der Hand zu weisen.</w:t>
      </w:r>
    </w:p>
    <w:p>
      <w:r>
        <w:rPr>
          <w:b/>
        </w:rPr>
        <w:t>E. 8</w:t>
      </w:r>
    </w:p>
    <w:p>
      <w:r>
        <w:t>Vor dem aufgezeigten Hintergrund durfte die Vorinstanz zu recht annehmen, die Wiederausreise der Gesuchstellerin sei nicht gesichert. Daran ändert auch der Umstand nichts, dass der Beschwerdeführer wiederholt das Gegenteil behauptet hat, ist doch eine derartige Garantie weder faktisch noch rechtlich durchsetzbar. Gastgeber können zwar für gewisse finanzielle Risiken im Zusammenhang mit einem Besuchsaufenthalt garantieren, nicht jedoch für ein bestimmtes Verhalten ihrer Gäste (vgl. BVGE 2009/27 E. 9). Die Voraussetzungen für die Erteilung sogenannter "einheitlicher Visa" - gültig für den gesamten Schengen-Raum - sind somit nicht erfüllt.</w:t>
      </w:r>
    </w:p>
    <w:p>
      <w:r>
        <w:rPr>
          <w:b/>
        </w:rPr>
        <w:t>E. 9</w:t>
      </w:r>
    </w:p>
    <w:p>
      <w:r>
        <w:t>Es bleibt zu prüfen, ob die Voraussetzungen für ein Visum mit räumlich beschränkter Gültigkeit gemäss Art. 25 Visakodex vorliegen.</w:t>
      </w:r>
    </w:p>
    <w:p>
      <w:r>
        <w:rPr>
          <w:b/>
        </w:rPr>
        <w:t>E. 9.1</w:t>
      </w:r>
    </w:p>
    <w:p>
      <w:r>
        <w:t>Hierzu gilt es, die sich gegenüberstehenden Interessen abzuwägen, wo­bei die Voraussetzungen für ein Abweichen von den allgemeinen Einrei­sevor­aussetzungen nicht leicht­hin angenommen werden dürfen. So ist dem Umstand angemessen Rech­nung zu tragen, dass der Entscheid über die Erteilung eines Visums mit räumlich beschränkter Geltung nicht nur eigene Interessen berührt, son­dern infolge des Wegfalles der Personenkontrollen an den Innengren­zen des Schengen-Raums auch die Interessen der übrigen Schengen-Staa­ten beeinträchtigen kann.</w:t>
      </w:r>
    </w:p>
    <w:p>
      <w:r>
        <w:rPr>
          <w:b/>
        </w:rPr>
        <w:t>E. 9.2</w:t>
      </w:r>
    </w:p>
    <w:p>
      <w:r>
        <w:t>Art. 8 der Konvention vom 4. November 1950 zum Schutze der Menschenrechte und Grundfreiheiten (EMRK, SR 0.101) - deckungsgleich mit Art. 13 Abs. 1 der Bundesver­fassung der Schweizerischen Eidgenossenschaft vom 18. April 1999 (BV, SR 101) - dient dem Schutz des Familien- und Privatle­bens, aus dem sich bei bestimmten familiären Konstellationen eine völkerrechtliche Verpflichtung zur Visumserteilung ableiten lässt (vgl. BVGE 2011/48 E. 6.3.2).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von Art. 8 EMRK liegen.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(vgl. BGE 135 I 153 E. 2.1). Eine Interessenabwägung nach Art. 8 Abs. 2 EMRK erübrigt sich unter diesen Umständen.</w:t>
      </w:r>
    </w:p>
    <w:p>
      <w:r>
        <w:rPr>
          <w:b/>
        </w:rPr>
        <w:t>E. 9.3</w:t>
      </w:r>
    </w:p>
    <w:p>
      <w:r>
        <w:t>Im Falle des Beschwerdeführers tangiert die Verweigerung der Einreisebewilligung nicht die Kernfamilie. Dadurch werden einerseits die Anforderungen an seine privaten Interessen erhöht. Demgegenüber ist das letzte Treffen des Beschwerdeführers mit seiner Mutter bereits mehr als sieben Jahre her, weshalb er andererseits ein berechtigtes Interesse an persönlichem Kontakt hat. Die Reise nach Sri Lanka dürfte für ihn mit unverhältnismässig hohen Risiken verbunden sein und steht aufgrund seines Flüchtlingsstatus ohnehin ausser Frage. Hingegen wird ein Eingriff in den Schutzbereich des Privat- und Familienlebens erst angenommen, wenn sich die Betroffenen in keinem anderen Staat treffen können und der persönliche Kontakt deshalb nur in der Schweiz möglich wäre (vgl. Urteil des Bundesverwaltungsgerichts C-3085/2008 und C-3088/2008 vom 10. September 2009 E. 12.1 mit Hinweisen). In diesem Fall wäre das private Interesse des Beschwerdeführers an einer persönlichen Begegnung in der Schweiz gewichtiger als das öffentliche Interesse an der Einhaltung der Einreisevorschriften. Als anerkannter Flüchtling ist der Beschwerdeführer zwischenzeitlich im Besitze einer Niederlassungsbewilligung. Die Reise in einen Drittstaat ist daher grundsätzlich möglich. Gemäss den sich in den Akten befindlichen Passkopien der Gesuchstellerin hat sich diese in den Jahren 2009 und 2010 mittels Visum während mehreren Monaten in Indien aufgehalten. Damit dürfte es für beide Parteien möglich sein, nach Indien zu reisen, um sich dort persönlich zu treffen. Insgesamt sind demnach keine humanitären Gründe ersichtlich, welche die Erteilung eines Visums mit räumlich beschränkter Gültigkeit rechtfertigen würden.</w:t>
      </w:r>
    </w:p>
    <w:p>
      <w:r>
        <w:rPr>
          <w:b/>
        </w:rPr>
        <w:t>E. 10</w:t>
      </w:r>
    </w:p>
    <w:p>
      <w:r>
        <w:t>Aus vorstehenden Erwägungen folgt, dass die angefochtene Verfügung im Lichte von Art. 49 VwVG nicht zu beanstanden ist. Die Beschwerde ist daher abzuweisen.</w:t>
      </w:r>
    </w:p>
    <w:p>
      <w:r>
        <w:rPr>
          <w:b/>
        </w:rPr>
        <w:t>E. 11</w:t>
      </w:r>
    </w:p>
    <w:p>
      <w:r>
        <w:t>Bei diesem Ausgang des Verfahrens sind die Kosten dem Beschwerde­führer aufzuerlegen (Art. 63 Abs. 1 VwVG i.V.m. Art. 1 ff. des Regle­ments über die Kos­ten und Entschädigungen vor dem Bundesverwaltungs­gericht vom 21. Februar 2008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