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C-879/2010 vom 28. Juli 2011</w:t>
      </w:r>
    </w:p>
    <w:p>
      <w:r>
        <w:t>Bundesverwaltungsgericht, 2011-07-28, FR</w:t>
      </w:r>
    </w:p>
    <w:p>
      <w:r>
        <w:rPr>
          <w:b/>
        </w:rPr>
        <w:t xml:space="preserve">Quelle: </w:t>
      </w:r>
      <w:r>
        <w:t>https://mcp.opencaselaw.ch/entscheid/bvger_C-879_2010</w:t>
      </w:r>
    </w:p>
    <w:p>
      <w:r>
        <w:t>FR: TAF C-879/2010 du 28 juillet 2011</w:t>
      </w:r>
    </w:p>
    <w:p>
      <w:r>
        <w:t>IT: TAF C-879/2010 del 28 luglio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imparti (cf. pces 9 à 16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5ème révision de la LAI entrées en vigueur le 1er janvier 2008 sont dès lors applicables. En ce qui concerne les faits déterminants, selon la jurisprudence, le Tribunal de céans doit se limiter à examiner la situation de fait existant jusqu'à la date de la décision attaquée (ATF 130 V 445 consid. 1.2).</w:t>
      </w:r>
    </w:p>
    <w:p>
      <w:r>
        <w:rPr>
          <w:b/>
        </w:rPr>
        <w:t>E. 5.1</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le recourant a versé des cotisations à l'AVS/AI pendant plus de trois années au total (cf. pce 1)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Toutefois, les rentes correspondant à un taux d'invalidité inférieur à 50% ne sont, en application de art. 29 al. 4 LAI, versées qu'aux assurés qui ont leur domicile et leur résidence habituelle en Suisse (cf. l'art. 13 LPGA).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1978 à 1989. En 1990, il est retourné dans son pays d'origine et y a exercé, jusqu'en 2005, l'activité de maçon indépendant.</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7.3</w:t>
      </w:r>
    </w:p>
    <w:p>
      <w:r>
        <w:t>Dans les cas où il est particulièrement difficile de déterminer les revenus avant et après l'invalidité, notamment s'agissant de personnes indépendantes, la jurisprudence admet que l'évaluation de la perte de gain soit faite, exceptionnellement, par une méthode dite extraordinaire. Ainsi, en ce qui concerne la détermination de l'incapacité de gain des travailleurs indépendants, le Tribunal fédéral (des assurances) a établi que l'invalidité doit être évaluée, dans l'activité exercée, d'après l'incidence de la capacité de rendement amoindrie sur la situation économique concrète (cf. ATF 128 V 29 consid. 1). Sur la base de cette méthode extraordinaire, on constate d'abord l'empêchement dû à l'atteinte à la santé et, ensuite, on examine les effets de cet empêchement sur la capacité de gain (VSI 1998 p. 121; SVR 1996 IV n. 74 consid. 2b). Toutefois, lorsque, comme en l'espèce, l'intéressé a cessé toute activité indépendante, on peut renoncer à l'application de la méthode de calcul extraordinaire et appliquer la méthode dite générale. Dans ce cas là, en effet, la comparaison des activités exercées avant et après la survenance de l'invalidité n'est plus possible (RAMA 1995 p. 107).</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Dans la présente occurrence, il est établi que le recourant souffre, sur le plan orthopédique, essentiellement d'un statut après une arthroplastie d'abord droite puis gauche de la hanche en raison d'une coxarthrose secondaire à une nécrose avasculaire. Sur le plan oncologique, un adénocarcinome a certes été diagnostiqué; il a toutefois été opéré en 2007 et aucune métastase n'a depuis été relevée.</w:t>
      </w:r>
    </w:p>
    <w:p>
      <w:r>
        <w:rPr>
          <w:b/>
        </w:rPr>
        <w:t>E. 9.2</w:t>
      </w:r>
    </w:p>
    <w:p>
      <w:r>
        <w:t>L'autorité inférieure, se fondant essentiellement sur le rapport E 213 du 5 mars 2009 du Dr Alvarez de l'INSS et sur les prises de position de son service médical, a considéré que l'assuré pouvait, à compter du 1er mars 2007, reprendre à plein temps une activité de substitution légère et adaptée à son état de santé. Le recourant, pour sa part, a fait valoir que la sécurité sociale de son pays d'origine lui a reconnu une incapacité de travail absolue et que sa situation clinique le rend incapable de travailler dans toute profession.</w:t>
      </w:r>
    </w:p>
    <w:p>
      <w:r>
        <w:rPr>
          <w:b/>
        </w:rPr>
        <w:t>E. 9.3</w:t>
      </w:r>
    </w:p>
    <w:p>
      <w:r>
        <w:t>A titre liminaire, il sied de rappeler que le degré d'invalidité d'un assuré qui prétend une rente de l'assurance-invalidité suisse est déterminé exclusivement d'après le droit suisse (cf. supra 3). Aussi, contrairement à ce que soutient le recourant, les décisions de la sécurité sociale espagnole ne lient-t-elles pas les autorités suisses. Il est certes patent, en l'espèce, au vu des affections diagnostiquées par les spécialistes sollicités, que l'assuré présente une certaine incapacité de travail dans une activité lourde, à l'exemple d'une activité physique dans le domaine de la construction, qu'il a exercée en dernier lieu en Espagne jusqu'en 2005. Le tribunal de céans, à l'instar de la Dresse Schoch-Zysset et de l'OAIE, ne voit toutefois pas en quoi le recourant, en tant qu'il présente quelques limitations fonctionnelles au niveau de la hanche voire du dos, serait empêché ou diminué s'agissant d'une activité légère et adaptée à sa situation clinique, à l'exemple des professions proposées par le service médical de l'autorité inférieure (vente par correspondance, caissier, réceptionniste, téléphoniste, etc.). Le fait de se déplacer à l'aide de cannes est en effet sans influence sur l'exercice d'une activité sédentaire. Les conclusions prises par le Dr Alvarez de l'INSS, dans son rapport E 213 du 5 mars 2009 (pce 22), sont à cet égard claires et univoques et ont, au demeurant, été intégralement confirmée par le service médical de l'autorité inférieure dans ses prises de position successives (pces 24, 33, 37, 39). Certes, les Drs Quitans (pce 21) et Gonzalez Yanez (pces 29 s.), tout en confirmant le même diagnostic que celui formulé par le Dr Alvarez, apprécient de manière différenciée la capacité de travail du recourant. L'autorité de céans estime toutefois qu'il convient de donner préséance à l'appréciation et aux conclusions du Dr Alvarez, ledit rapport E 213 ne contenant pas d'incohérence et reposant sur une étude complète et circonstanciée de la situation médicale du recourant ainsi que sur des constatations objectives établies par IRM notamment. Il remplit ainsi pleinement les conditions posées par la jurisprudence en la matière (supra 8). Il est le lieu de rappeler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Il n'y a, partant, aucune raison de ne pas accorder foi à l'expertise réalisée par le Dr Alvarez ou de donner préférence aux avis médicaux, par trop succincts, des médecins traitant du recourant. Le juge doit en effet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Il sied, au surplus, de jurisprudence constante, de reconnaître une valeur probante plus grande à une expertise mise en oeuvre par un tribunal ou un assureur-invalidité qu'à une expertise privée (ATF 125 V 151). Il convient de souligner enfin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Eu égard à ce qui précède, le tribunal de céans fait sienne l'appréciation de l'OAIE et de son service médical et considère dès lors que le recourant présente une incapacité de travail de 60% dans sa dernière profession de maçon indépendant, mais dispose par contre d'une capacité de travail entière dans une activité de substitution légère et adaptée.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La déduction, qui doit être effectuée globalement, résulte d'une évaluation et doit être brièvement motivée par l'administration (ATF 126 cité consid. 5b/aa-cc).</w:t>
      </w:r>
    </w:p>
    <w:p>
      <w:r>
        <w:rPr>
          <w:b/>
        </w:rPr>
        <w:t>E. 11.1</w:t>
      </w:r>
    </w:p>
    <w:p>
      <w:r>
        <w:t>Selon le questionnaire pour indépendants du 18 mai 2009 déposé par le recourant, celui-ci a travaillé en Espagne en dernier lieu, du 1er juillet 1990 à 2005, en qualité d'indépendant dans le domaine de la construction. Le salaire statistique mensuel moyen d'un salarié avec des connaissances professionnelles spécialisées dans la construction en 2006 en Suisse était de Fr. 5'422.- (Tableau TA1, Enquête suisse sur la structure des salaires). Après adaptation au nombre d'heures de travail effectuées en 2006 en moyenne dans le domaine de la construction, à savoir 41.7 heures (par rapport aux 40 heures de base, La Vie économique 12-2006, B9.2), on obtient un revenu sans invalidité de Fr. 5'652.44.</w:t>
      </w:r>
    </w:p>
    <w:p>
      <w:r>
        <w:rPr>
          <w:b/>
        </w:rPr>
        <w:t>E. 11.2</w:t>
      </w:r>
    </w:p>
    <w:p>
      <w:r>
        <w:t>Les activités de substitution proposées par le service médical de l'autorité inférieure dans sa prise de position du 12 juillet 2009, exigibles à plein temps à compter du 1er mars 2007, sont des activités légères et adaptées à l'état de santé du recourant comparables à des activités simples et répétitives dans les domaines du commerce de gros, intermédiaires de commerce (dont le revenu mensuel moyen en Suisse est de Fr. 4'792.-), du commerce de détail, réparation d'articles domestiques (Fr. 4'383.-) ou des services fournies aux entreprises (Fr. 4'563.-). La moyenne de ces revenus, à savoir Fr. 4'579.33, adaptée à l'horaire usuel du secteur privé en 2006 de 41.7 heures par semaine (par rapport aux 40 heures de base, La Vie économique 9-2006, B9.2), correspond à Fr. 4'773.95. La réduction des salaires ressortant des statistiques (abattement) relève en premier lieu de l'OAIE, qui dispose pour cela d'un large pouvoir d'appréciation. Le juge des assurances sociales ne peut à cet égard, sans motif pertinent, substituer son appréciation à celle de l'administration (ATF 126 V 75 consid. 3b/aa et bb). En l'espèce, compte tenu de l'âge et du handicap du recourant, l'abattement de 20% appliqué par l'autorité inférieure apparaît justifié. Il s'ensuit que le revenu mensuel théorique pour des activités adaptées de Fr. 4'773.95, abaissé de 20%, soit Fr. 3'819.16, fonde une perte de gain de 32% (Fr. 3'819.16 x 100 : Fr. 5'652.44 = 32.43%), taux insuffisant pour avoir droit à une rente de l'assurance-invalidité suisse.</w:t>
      </w:r>
    </w:p>
    <w:p>
      <w:r>
        <w:rPr>
          <w:b/>
        </w:rPr>
        <w:t>E. 12</w:t>
      </w:r>
    </w:p>
    <w:p>
      <w:r>
        <w:t>Le recours du 9 février 2010, manifestement infondé, doit partant être rejeté dans une procédure à juge unique (art. 85bis al. 3 de la loi fédérale du 20 décembre 1946 sur l'assurance-vieillesse et survivants [LAVS, RS 831.10], applicable par le renvoi de l'art. 69 al. 2 LAI).</w:t>
      </w:r>
    </w:p>
    <w:p>
      <w:r>
        <w:rPr>
          <w:b/>
        </w:rPr>
        <w:t>E. 13.1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13.2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