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C-8797/2007 vom 3. April 2008</w:t>
      </w:r>
    </w:p>
    <w:p>
      <w:r>
        <w:t>Bundesverwaltungsgericht, 2008-04-03, DE</w:t>
      </w:r>
    </w:p>
    <w:p>
      <w:r>
        <w:rPr>
          <w:b/>
        </w:rPr>
        <w:t xml:space="preserve">Quelle: </w:t>
      </w:r>
      <w:r>
        <w:t>https://mcp.opencaselaw.ch/entscheid/bvger_C-8797_2007</w:t>
      </w:r>
    </w:p>
    <w:p>
      <w:r>
        <w:t>FR: TAF C-8797/2007 du 3 avril 2008</w:t>
      </w:r>
    </w:p>
    <w:p>
      <w:r>
        <w:t>IT: TAF C-8797/2007 del 3 aprile 2008</w:t>
      </w:r>
    </w:p>
    <w:p>
      <w:pPr>
        <w:pStyle w:val="Heading2"/>
      </w:pPr>
      <w:r>
        <w:t>Regeste</w:t>
      </w:r>
    </w:p>
    <w:p>
      <w:r>
        <w:t>Heilmittel (Übriges)</w:t>
      </w:r>
    </w:p>
    <w:p>
      <w:pPr>
        <w:pStyle w:val="Heading2"/>
      </w:pPr>
      <w:r>
        <w:t>Erwägungen</w:t>
      </w:r>
    </w:p>
    <w:p>
      <w:r>
        <w:rPr>
          <w:b/>
        </w:rPr>
        <w:t>E. 1</w:t>
      </w:r>
    </w:p>
    <w:p>
      <w:r>
        <w:t>Zu befinden ist im vorliegenden Zwischenentscheid ausschliesslich über das Gesuch der X.________ AG um Beiladung als Partei zum Beschwerdeverfahren Nr. C-7020/2007 sowie um Gewährung der Akteneinsicht in jenem Verfahren.</w:t>
      </w:r>
    </w:p>
    <w:p>
      <w:r>
        <w:rPr>
          <w:b/>
        </w:rPr>
        <w:t>E. 2</w:t>
      </w:r>
    </w:p>
    <w:p>
      <w:r>
        <w:t>Wie die Gesuchstellerin richtigerweise festhält, sehen weder das Verwaltungsverfahrensrecht des Bundes noch das Heilmittelrecht die Beiladung Dritter zu Verfahren vor dem Institut oder dem Bundesverwaltungsgericht vor. Nach Lehre und Rechtsprechung wird diese aber dann zugelassen, wenn einer Person Parteistellung im Sinne von Art. 6 VwVG zukommt (vgl. Isabelle Häner, Die Beteiligten im Verwaltungsverfahren und Verwaltungsprozess, Zürich 2000, Rz. 298, mit Hinweisen; Fritz Gygi, Bundesverwaltungsrechtspflege, 2. Aufl., Bern 1984, S. 183; BGE 120 Ib 351 E. 3; Entscheid der Eidgenössischen Rekurskommission für Heilmittel (REKO HM) HM 05.110 vom 26. Juli 2005 [abrufbar unter www.vpb.admin.ch/rohtexte/R/2005/ HM05.110Entscheidanonym.pdf, zuletzt besucht am 1. April 2008]). Als Parteien im Sinne von Art. 6 VwVG gelten Personen, deren Rechte oder Pflichten die Verfügung berühren soll, und andere Personen, Organisationen oder Behörden, denen ein Rechtsmittel gegen die Verfügung zusteht. Ausgehend von diesem Parteibegriff und unter Berücksichtigung, dass gemäss Art. 48 Abs. 1 VwVG diejenigen Personen zur Beschwerde zugelassen sind, welche vor der Vorinstanz am Verfahren teilgenommen oder keine Möglichkeit zur Teilnahme erhalten haben, welche durch die angefochtene Verfügung besonders berührt sind und welche ein schutzwürdiges Interesse an deren Aufhebung oder Änderung haben, beurteilt sich die Frage der Verfahrensbeteiligung nach denselben Grundsätzen wie diejenige nach der Beschwerdelegitimation (vgl. dazu auch I. Häner, a.a.O., Rz. 317; Stefan Bilger, Das Verwaltungsverfahren zur Untersuchung von Wettbewerbsbeschränkungen, Freiburg 2002, S. 111 ff.). Im Folgenden ist mithin zu prüfen, ob die Gesuchstellerin durch das Verfahren der Gesuchsgegnerin um Festlegung des Erstanmelderschutzes für das Präparat A._______ besonders berührt ist und ein schutzwürdiges Interesse an dessen Ausgang hat.</w:t>
      </w:r>
    </w:p>
    <w:p>
      <w:r>
        <w:rPr>
          <w:b/>
        </w:rPr>
        <w:t>E. 3</w:t>
      </w:r>
    </w:p>
    <w:p>
      <w:r>
        <w:t>Dritte sind zur Beschwerde bzw. zur Verfahrensbeteiligung nur dann legitimiert und daher als Partei zum Verfahren zuzulassen, wenn sie durch den angefochtenen Entscheid bzw. den Ausgang eines Verfahrens stärker als jedermann betroffen sind und in einer besonderen, beachtenswerten, nahen Beziehung zur Streitsache stehen (Ausschluss der Popularbeschwerde). Drittbetroffene müssen persönlich und unmittelbar einen rechtlichen oder faktischen Nachteil erleiden bzw. befürchten. Ein bloss mittelbares oder ausschliesslich allgemeines, öffentliches Interesse berechtigt - ohne die erforderliche Beziehungsnähe zur Streitsache selber - nicht zur Beschwerde (BGE 125 I 7 E. 3c, 123 II 376 E. 2 mit Hinweisen). Es wird also kein rechtlich geschütztes Interesse vorausgesetzt; weder muss eine Rechtsverletzung vorliegen, noch muss das Interesse mit der als verletzt gerügten Norm übereinstimmen. Das schutzwürdige Interesse besteht vielmehr darin, dass ein materieller oder ideeller Nachteil vermieden werden soll, den ein Entscheid mit sich bringen könnte (vgl. etwa BGE 131 II 587 E. 2.1, 123 II 376 E. 2; dazu auch S. Bilger, a.a.O., S. 213; I. Häner, a.a.O., Rz. 317 ff.; Mark Schweizer, Drittbeschwerde gegen arzneimittelrechtliche Zulassungen, in: AJP 2005 S. 803).</w:t>
      </w:r>
    </w:p>
    <w:p>
      <w:r>
        <w:rPr>
          <w:b/>
        </w:rPr>
        <w:t>E. 3.1</w:t>
      </w:r>
    </w:p>
    <w:p>
      <w:r>
        <w:t>Die Beschwerdeführerin sieht ihre besondere Beziehungsnähe zur Streitsache darin, dass das Zulassungsverfahren für ihr Generikum C.________ durch die Anerkennung des Erstanmelderschutzes für das Präparat A._______ verzögert würde. Sie befürchtet, durch diese Verzögerung wesentliche finanzielle Nachteile in Kauf nehmen zu müssen, da sie ihr Konkurrenzprodukt erst später in Verkehr bringen könne.</w:t>
      </w:r>
    </w:p>
    <w:p>
      <w:r>
        <w:rPr>
          <w:b/>
        </w:rPr>
        <w:t>E. 3.2</w:t>
      </w:r>
    </w:p>
    <w:p>
      <w:r>
        <w:t>Nach ständiger Rechtsprechung sind Konkurrenten eines Bewilligungsinhabers nicht schon aufgrund der blossen Befürchtung, in ihrer Marktstellung beeinträchtigt zu werden, zur Beschwerde legitimiert. Erforderlich ist vielmehr eine spezifische Beziehungsnähe, die von der einschlägigen gesetzlichen Ordnung erfasst wird. So kann ein schutzwürdiges Interesse für Konkurrenten in Wirtschaftszweigen vorliegen, die durch wirtschaftspolitische oder sonstige spezielle Regelungen (z.B. Kontingentierung) in eine solche besondere Beziehungsnähe untereinander versetzt werden (BGE 127 II 264 E. 2c; 125 I 7 E. 3d und e; BGE 123 II 376 E. 5b/aa; Urteil des Bundesgerichts 2A.19/2006 vom 24. Mai 2006, E. 2.2, je mit Hinweisen; Lucretia Glanzmann-Tarnutzer, Die Legitimation des Konkurrenten zur Verwaltungsgerichtsbeschwerde an das Bundesgericht, St. Gallen 1997, S. 107 und 122; Alfred Kölz/Isabelle Häner, Verwaltungsverfahren und Verwaltungsrechtspflege des Bundes, 2. Aufl., Zürich 1998, Rz. 554; René A. Rhinow/Gerhard Schmid/Giovanni Biaggini, Öffentliches Wirtschaftsrecht, Basel/Frankfurt 1998, S. 351 Rz. 29). Dies ist beispielsweise dann der Fall, wenn der staatlich zu bewilligende Marktzutritt von einer gewissen Bedürfnisprüfung abhängt und konkurrierende Gesuche gegeneinander abzuwägen sind (vgl. etwa zum Lotteriewesen BGE 127 II 264 E. 2 S. 271). Ebenso kann sich die Legitimation von Konkurrenten aus spezialgesetzlichen Regelungen ergeben, die ausdrücklich eine Beteiligung Dritter am Verfahren vorsehen (vgl. etwa für den Patentschutz bei Parallelimporten von Arzneimitteln Art. 18 VAM). Schliesslich ist ein Konkurrent zur Beschwerde legitimiert, soweit er geltend macht, andere Konkurrenten würden privilegiert behandelt.</w:t>
      </w:r>
    </w:p>
    <w:p>
      <w:r>
        <w:rPr>
          <w:b/>
        </w:rPr>
        <w:t>E. 3.3</w:t>
      </w:r>
    </w:p>
    <w:p>
      <w:r>
        <w:t>Wie bereits die REKO HM festgehalten hat, schafft die Heilmittelgesetzgebung keine Monopolsituationen (vgl. zum Ganzen den erwähnten Entscheid HM 05.110 E. 4.1). Durch die gesetzlichen Regeln sollen nicht bestimmte wirtschaftliche Tätigkeiten dem Staat oder bestimmten vom Staat konzessionierten Marktteilnehmern vorbehalten werden (rechtliches Monopol). Auch hat die Anwendung der gesundheitspolizeilichen Bestimmungen nicht zur Folge, dass tatsächliche Gegebenheiten entstehen, welche Private faktisch von einer ihnen grundsätzlich erlaubten wirtschaftlichen Tätigkeit ausschliessen würden (faktisches Monopol). Selbst detaillierte Regelungen über die Zulassung von Arzneimitteln führen nicht dazu, dass der Staat die Tätigkeit auf dem Heilmittelmarkt an sich zieht, und sie schaffen auch keine faktische Verhinderung des freien Marktes, unterstehen doch alle Bewerber den selben Zugangsvoraussetzungen (vgl. Art. 1 Abs. 3 Bst. c HMG). Die gesundheitspolizeilichen Vorschriften des Heilmittelgesetzes setzen lediglich die Grenzen, innert welcher sich der Markt und die Wettbewerbsteilnehmer bewegen können. Innerhalb dieser Grenzen ist der Markt frei und werden alle Marktteilnehmer gleich behandelt. Die Vorschriften des Heilmittelgesetzes haben keinen wirtschaftspolitischen Charakter, indem sie Kontingentierungen oder Bedürfnisklauseln zur Anwendung bringen würden. Vielmehr handelt es sich bei der heilmittelrechtlichen Zulassung zum Markt um eine Polizeibewilligung, auf deren Erteilung jedermann Anspruch hat, der die gesetzlichen Voraussetzungen erfüllt.</w:t>
      </w:r>
    </w:p>
    <w:p>
      <w:r>
        <w:rPr>
          <w:b/>
        </w:rPr>
        <w:t>E. 3.4</w:t>
      </w:r>
    </w:p>
    <w:p>
      <w:r>
        <w:t>Zu beachten ist allerdings, dass die Vorschriften über den Erstanmelderschutz in erster Linie nicht gesundheitspolizeilichen Zielen, sondern dem Schutz der Marktteilnehmer vor unlauterem Wettbewerb dienen. Zweck des Erstanmelderschutzes ist es, die aufwändigen Forschungs- und Entwicklungsarbeiten, welche im Hinblick auf die erstmalige Zulassung eines Arzneimittels erforderlich sind, während einer bestimmten Zeit vor dem Zugriff der Konkurrenz zu schützen. Dadurch sollen für die Forschung und Entwicklung im Heilmittelbereich günstige Rahmenbedingungen gewährleistet werden (Art. 1 Abs. 3 Bst. b HMG). Der Erstanmelderschutz betrifft die Zulassungsunterlagen - beziehungsweise das darin enthaltene Know-how - und dient somit dem Schutz von Geschäftsgeheimnissen vor unlauterer Verwendung (Art. 39 Abs. 3 des Abkommens über handelsbezogene Aspekte der Rechte an geistigem Eigentum (TRIPS-Abkommen, Anhang 1C des Abkommens vom 15. April 1994 zur Errichtung der Welthandelsorganisation, SR 0.632.20), vgl. zum Ganzen den Entscheid des Bundeverwaltungsgerichts C-2263/2006 vom 7. November 2007, E. 5.1 und 5.5).</w:t>
      </w:r>
    </w:p>
    <w:p>
      <w:r>
        <w:rPr>
          <w:b/>
        </w:rPr>
        <w:t>E. 3.5</w:t>
      </w:r>
    </w:p>
    <w:p>
      <w:r>
        <w:t>Der Schutz von Zulassungsunterlagen vor der unlauteren gewerblichen Verwendung durch Dritte ist wirtschaftspolizeilicher Natur. Er trifft sämtliche Marktteilnehmer, die sich um die Zulassung von Arzneimitteln mit bekannten Wirkstoffen, insb. von Generika bemühen, in gleicher Weise, und bewirkt wie die gesundheitspolizeilich motivierten Zulassungsvoraussetzungen weder eine rechtliche noch eine faktische Verhinderung des freien Marktes. Die gesetzliche Ordnung der Arzneimittelzulassung schafft in ihrer Gesamtheit keine spezifische Beziehungsnähe einzelner Konkurrenten zu jenen Verfahren anderer Marktteilnehmer, in welchen über die Zulassung bestimmter Arzneimittel und über deren Erstanmelderschutz befunden wird - was nach neuerer Praxis des Instituts im Rahmen eines einheitlichen Verfahrens und Entscheides erfolgt (vgl. Swissmedic Journal 7/2003, S. 556). Es widerspräche der vom Gesetzgeber gewollten individuell-konkreten Prüfung der Zulassungsvoraussetzungen im Einzelfall, wenn in sämtlichen Zulassungsverfahren, in denen über den Erstanmelderschutz zu befinden ist, allfälligen Konkurrenten eine spezifische Beziehungsnähe zugesprochen würde und diese als Parteien zum Verfahren zuzulassen wären. Hieran vermag nichts zu ändern, dass bei altrechtlich registrierten Arzneimitteln in der Regel im Zeitpunkt der Zulassung noch nicht über den Erstanmelderschutz befunden worden ist und dieser später, in einem speziellen Verfahren festgelegt werden muss.</w:t>
      </w:r>
    </w:p>
    <w:p>
      <w:r>
        <w:rPr>
          <w:b/>
        </w:rPr>
        <w:t>E. 3.6</w:t>
      </w:r>
    </w:p>
    <w:p>
      <w:r>
        <w:t>Der Umstand, dass die Gesuchstellerin als Konkurrentin der Gesuchsgegnerin aufgrund der Unsicherheiten bezüglich des Bestehens eines Erstanmelderschutzes für das Präparat A._______ wirtschaftliche Nachteile in Kauf nehmen muss, ist Folge der allgemeinen heilmittelrechtlichen Ordnung, die in erster Linie gesundheitspolizeilichen, weiter aber auch wirtschaftspolizeilichen Interessen dient. Diese Ordnung führt nicht etwa zu einer wirtschaftspolitisch motivierten unterschiedlichen Behandlung der Marktteilnehmer und damit zu Wettbewerbsverzerrungen - wie dies etwa bei Kontingentierungsvorschriften oder Bedürfnisklauseln der Fall sein kann. Die gesetzliche Zulassungsvoraussetzung der Beachtung des Erstanmelderschutzes (Art. 12 HMG) trifft die Gesuchstellerin in gleicher Weise wie alle andern konkurrenzierenden Marktteilnehmer und verschafft ihr keine spezifische Beziehungsnähe zum Verfahren der Festlegung des Erstanmelderschutzes. Es trifft zwar zu, dass der Erstanmelderschutz die Marktstellung von Konkurrenten berühren kann. Dies trifft aber bei jeder Zulassung eines Arzneimittels mit bekannten Wirkstoffen zu und stellt im Sinne der oben dargestellten Rechtsprechung eine normale Wettbewerbssituation dar. Obwohl der (umstrittene) Erstanmelderschutz für das Präparat A._______ Einfluss auf die Vermarktung des Generikums C.________ haben kann, rückt dies die Gesuchstellerin nicht in eine beachtens- und schützenswerte Beziehung zur Streitsache.</w:t>
      </w:r>
    </w:p>
    <w:p>
      <w:r>
        <w:rPr>
          <w:b/>
        </w:rPr>
        <w:t>E. 3.7</w:t>
      </w:r>
    </w:p>
    <w:p>
      <w:r>
        <w:t>Der Gesuchstellerin kommt somit im Beschwerdeverfahren der Gesuchsgegnerin betreffend Erstanmelderschutz (Geschäftsnummer C-7020/2007) keine Parteistellung zu und das Gesuch um Beiladung zum Verfahren ist abzuweisen. Ihre Einwände gegen eine allfällige Gewährung des Erstanmelderschutzes für das Arzneimittel A._______ kann sie im Rahmen des Zulassungsverfahrens für ihr Generikum C.________ vorbringen. Bei diesem Ausgang des Verfahrens erübrigt es sich, der Beschwerdegegnerin und der Vorinstanz Gelegenheit zur Einreichung einer Stellungnahme zu geben (Art. 30 Abs. 2 Bst. c VwVG).</w:t>
      </w:r>
    </w:p>
    <w:p>
      <w:r>
        <w:rPr>
          <w:b/>
        </w:rPr>
        <w:t>E. 4</w:t>
      </w:r>
    </w:p>
    <w:p>
      <w:r>
        <w:t>Mangels Parteistellung hat die Gesuchstellerin keinen Anspruch auf die Wahrnehmung von Parteirechte im Beschwerdeverfahren Nr. C-7020/2007. So ist ihr insbesondere kein rechtliches Gehör zu gewähren, ist doch das Verfahren bloss parteiöffentlich (Art. 29 VwVG). Der Antrag der Gesuchstellerin, es sei ihr in diesem Beschwerdeverfahren Akteneinsicht zu gewähren, ist daher in Anwendung von Art. 26 VwVG abzuweisen - umso mehr, als das Öffentlichkeitsgesetz, das unter bestimmten Voraussetzungen auch Dritten Anspruch auf Akteneinsicht gewährt, in Beschwerdeverfahren vor dem Bundesverwaltungsgericht keine Anwendung findet (Art. 3 Abs. 1 Bst. a Ziff. 5 des Bundesgesetzes vom 17. Dezember 2004 über das Öffentlichkeitsprinzip der Verwaltung [BGÖ, SR 152.3]).</w:t>
      </w:r>
    </w:p>
    <w:p>
      <w:r>
        <w:rPr>
          <w:b/>
        </w:rPr>
        <w:t>E. 5</w:t>
      </w:r>
    </w:p>
    <w:p>
      <w:r>
        <w:t>Zu befinden bleibt noch über die Kosten des Gesuchsverfahrens und eine allfällige Parteientschädigung.</w:t>
      </w:r>
    </w:p>
    <w:p>
      <w:r>
        <w:rPr>
          <w:b/>
        </w:rPr>
        <w:t>E. 5.1</w:t>
      </w:r>
    </w:p>
    <w:p>
      <w:r>
        <w:t>Die Verfahrenskosten sind der unterliegenden Gesuchstellerin aufzuerlegen (Art. 63 Abs. 1 VwVG). Sie setzen sich zusammen aus der Gerichtsgebühr und den Auslagen, und werden unter Berücksichtigung des Umfanges und der Schwierigkeit der Streitsache sowie der finanziellen Lage der Gesuchstellerin auf pauschal Fr. 800.- festgesetzt (Art. 63 Abs. 4bis und 5 VwVG, Art. 1, 2 und 3 des Reglements vom 11. Dezember 2006 über die Kosten und Entschädigungen vor dem Bundesverwaltungsgericht [VGKE, SR 173.320.2]).</w:t>
      </w:r>
    </w:p>
    <w:p>
      <w:r>
        <w:rPr>
          <w:b/>
        </w:rPr>
        <w:t>E. 5.2</w:t>
      </w:r>
    </w:p>
    <w:p>
      <w:r>
        <w:t>Der Gesuchsgegnerin ist mangels ihr entstandener verhältnismässig hoher Kosten keine Parteientschädigung zuzusprechen (Art. 64 Abs. 1 VwVG). Die Vorinstanz ist nicht zu entschädigen (Art. 7 Abs. 3 VGKE).</w:t>
      </w:r>
    </w:p>
    <w:p>
      <w:r>
        <w:rPr>
          <w:b/>
        </w:rPr>
        <w:t>E. 6</w:t>
      </w:r>
    </w:p>
    <w:p>
      <w:r>
        <w:t>Der vorliegende Entscheid ist der Gesuchstellerin, der Vorinstanz und dem Eidgenössischen Departement des Innern zuzustellen. Der Gesuchsgegnerin ist er zur Wahrung der Geheimhaltungsinteressen der Gesuchstellerin nur in anonymisierter Form zu eröffnen (Art. 27 Abs. 1 Bst. b VwVG, Art. 62 Abs. 1 HMG).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