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C-8784/2010 vom 23. Januar 2012</w:t>
      </w:r>
    </w:p>
    <w:p>
      <w:r>
        <w:t>Bundesverwaltungsgericht, 2012-01-23, DE</w:t>
      </w:r>
    </w:p>
    <w:p>
      <w:r>
        <w:rPr>
          <w:b/>
        </w:rPr>
        <w:t xml:space="preserve">Quelle: </w:t>
      </w:r>
      <w:r>
        <w:t>https://mcp.opencaselaw.ch/entscheid/bvger_C-8784_2010</w:t>
      </w:r>
    </w:p>
    <w:p>
      <w:r>
        <w:t>FR: TAF C-8784/2010 du 23 janvier 2012</w:t>
      </w:r>
    </w:p>
    <w:p>
      <w:r>
        <w:t>IT: TAF C-8784/2010 del 23 gennaio 2012</w:t>
      </w:r>
    </w:p>
    <w:p>
      <w:pPr>
        <w:pStyle w:val="Heading2"/>
      </w:pPr>
      <w:r>
        <w:t>Regeste</w:t>
      </w:r>
    </w:p>
    <w:p>
      <w:r>
        <w:t>Einreiseverbot</w:t>
      </w:r>
    </w:p>
    <w:p>
      <w:pPr>
        <w:pStyle w:val="Heading2"/>
      </w:pPr>
      <w:r>
        <w:t>Erwägungen</w:t>
      </w:r>
    </w:p>
    <w:p>
      <w:r>
        <w:rPr>
          <w:b/>
        </w:rPr>
        <w:t>E. 1</w:t>
      </w:r>
    </w:p>
    <w:p>
      <w:r>
        <w:t>Aufgrund des engen persönlichen und sachlichen Zusammenhangs rechtfertigt es sich, die bisher getrennt geführten Verfahren C-8784/2010 (den Beschwerdeführer betreffend) und C-8785/2010 (die Beschwerdeführerin betreffend) zu vereinigen.</w:t>
      </w:r>
    </w:p>
    <w:p>
      <w:r>
        <w:rPr>
          <w:b/>
        </w:rPr>
        <w:t>E. 2.1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der beiden Einreiseverbote Verfügungen im erwähnten Sinne und daher zulässige Anfechtungsobjekte erlassen hat. Eine Ausnahme nach Art. 32 VGG liegt nicht vor.</w:t>
      </w:r>
    </w:p>
    <w:p>
      <w:r>
        <w:rPr>
          <w:b/>
        </w:rPr>
        <w:t>E. 2.2</w:t>
      </w:r>
    </w:p>
    <w:p>
      <w:r>
        <w:t>Das Rechtsmittelverfahren vor dem Bundesverwaltungsgericht richtet sich nach dem VwVG, soweit das Verwaltungsgerichtsgesetz nichts anderes bestimmt (Art. 37 VGG).</w:t>
      </w:r>
    </w:p>
    <w:p>
      <w:r>
        <w:rPr>
          <w:b/>
        </w:rPr>
        <w:t>E. 2.3</w:t>
      </w:r>
    </w:p>
    <w:p>
      <w:r>
        <w:t>Die Beschwerdeführenden sind als Verfügungsbetroffene zur Erhebung des Rechtsmittels legitimiert (Art. 48 Abs. 1 VwVG). Auf die im Übrigen frist- und formgerecht eingereichten Beschwerden ist somit einzutreten (Art. 50 und 52 VwVG).</w:t>
      </w:r>
    </w:p>
    <w:p>
      <w:r>
        <w:rPr>
          <w:b/>
        </w:rPr>
        <w:t>E. 2.4</w:t>
      </w:r>
    </w:p>
    <w:p>
      <w:r>
        <w:t>Das Bundesverwaltungsgericht entscheidet in der vorliegenden Streitsache endgültig (Art. 83 Bst. c Ziff. 1 des Bundesgerichtsgesetzes vom 17. Juni 2005 [BGG, SR 173.110]).</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4.1</w:t>
      </w:r>
    </w:p>
    <w:p>
      <w:r>
        <w:t>Die Vorinstanz schliesst in den angefochtenen Verfügungen vom 1. Dezember 2010 auf einen Verstoss gegen die öffentliche Sicherheit und Ordnung durch Missachtung einer behördlichen Anordnung und illegalen Aufenthalt. Im Weiteren begründet sie die Fernhaltemassnahmen damit, dass die Beschwerdeführenden in Ausschaffungshaft genommen und ausgeschafft worden seien. Damit sah die Vorinstanz Fernhaltegründe im Sinne von Art. 67 Abs. 1 Bst. a, c und d des Ausländergesetzes vom 16. Dezember 2005 (AuG, SR 142.20) in der damals gültigen Fassung (AS 2007 5437) als erfüllt.</w:t>
      </w:r>
    </w:p>
    <w:p>
      <w:r>
        <w:rPr>
          <w:b/>
        </w:rPr>
        <w:t>E. 4.2</w:t>
      </w:r>
    </w:p>
    <w:p>
      <w:r>
        <w:t>Mit dem Bundesbeschluss über die Genehmigung und die Umsetzung des Notenaustauschs zwischen der Schweiz und der EG betreffend die Übernahme der EG-Rückführungsrichtlinie (Richtlinie 2008/115/EG) vom 18. Juni 2010 (AS 2010 5925) wurde Art. 67 AuG mit Wirkung per 1. Januar 2011 revidiert, ohne dass Übergangsbestimmungen erlassen worden wären. Diese Rechtsänderung ist vorliegend nur insofern von Relevanz, als den Beschwerdeführenden unter anderem die Nichtbeachtung einer angesetzten Ausreisefrist vorgeworfen wird, und nach dem neuen Recht ein solches Fehlverhalten - unter dem Vorbehalt humanitärer oder anderer wichtiger Gründe nach Art. 67 Abs. 5 AuG - zwingend ein Einreiseverbot nach sich zieht. Das Abstellen auf den neuen Art. 67 Abs. 1 Bst. b AuG wäre in casu eine echte Rückwirkung, die mangels einer hinreichenden gesetzlichen Grundlage unzulässig ist. Ansonsten steht der Anwendung des neuen Rechts - auf das nachfolgend der Einfachheit halber allein Bezug genommen wird - nichts entgegen.</w:t>
      </w:r>
    </w:p>
    <w:p>
      <w:r>
        <w:rPr>
          <w:b/>
        </w:rPr>
        <w:t>E. 4.3</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4.4</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4.5</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5.1</w:t>
      </w:r>
    </w:p>
    <w:p>
      <w:r>
        <w:t>Die Beschwerdeführenden bestreiten, mit ihrem Verhalten Anlass für ein Einreiseverbot gegeben zu haben. Dabei berufen sie sich im Wesentlichen auf ein von ihnen beim Bundesverwaltungsgericht eingeleitetes Revisionsverfahren und machen geltend, dass über einen von ihnen gestellten verfahrensleitenden Antrag auf Aussetzung des Wegweisungsvollzuges nicht innert nützlicher Frist entschieden worden sei. Sie vertreten offenbar die Auffassung, dass ihr Aufenthalt in der Schweiz zumindest bis zur abschlägigen Behandlung ihres verfahrensleitenden Antrages legal gewesen sei.</w:t>
      </w:r>
    </w:p>
    <w:p>
      <w:r>
        <w:rPr>
          <w:b/>
        </w:rPr>
        <w:t>E. 5.2</w:t>
      </w:r>
    </w:p>
    <w:p>
      <w:r>
        <w:t>Nach Abschluss ihres zweiten Asylverfahrens wurden die Beschwerdeführenden am 5. Oktober 2010 zur Ausreise aus der Schweiz aufgefordert. Zur freiwilligen Erfüllung gewährte ihnen die Vorinstanz eine letzte Frist bis zum 4. November 2010. Mit Ablauf dieser Frist war der weitere Aufenthalt der Beschwerdeführenden illegal. Daran ändert nichts, dass die Behörden später (auf den 29. November 2010) Plätze für einen Heimflug buchten und mit den Beschwerdeführenden weiterhin das Gespräch suchten, um sie zu einer Ausreise zu bringen. Ebenso wenig lässt sich die Illegalität des weiteren Aufenthalts mit der Tatsache des am 24. November 2010 gegen den Asylentscheid eingereichten Revisionsgesuches und dem damit verbundenen Gesuch um Erlass superprovisorischer Massnahmen (Aussetzung des Vollzugs) in Frage stellen. Weder die Einleitung des ausserordentlichen Rechtsmittels noch der damit verbundene Verfahrensantrag legitimierten für sich allein schon zu einer weiteren Anwesenheit.</w:t>
      </w:r>
    </w:p>
    <w:p>
      <w:r>
        <w:rPr>
          <w:b/>
        </w:rPr>
        <w:t>E. 5.3</w:t>
      </w:r>
    </w:p>
    <w:p>
      <w:r>
        <w:t>Der von den Beschwerdeführenden behaupteten Verzögerung in der Behandlung des im Revisionsverfahren gestellten prozessualen Antrages auf Aussetzung der Ausreiseverpflichtung kam nach dem bisher Gesagten keine Bedeutung zu. Im Übrigen erwecken die Beschwerdeführenden mit ihrem Einwand zu Unrecht den Anschein, dass der von den Behörden für den 29. November 2010 organisierte Heimflug noch hätte realisiert werden können, wenn das Bundesverwaltungsgericht über den verfahrensleitenden Antrag schneller entschieden hätte. In Tat und Wahrheit sahen sich die Vollzugsbehörden schon am 26. November 2010 gezwungen, die geplante Ausreise abzusagen. Dies, nachdem die Beschwerdeführenden in einem letzten Gespräch ihre zuvor erklärte Ausreisebereitschaft widerrufen und sich geweigert hatten, die für die Ausreise notwendigen Unterlagen überhaupt entgegen zu nehmen.</w:t>
      </w:r>
    </w:p>
    <w:p>
      <w:r>
        <w:rPr>
          <w:b/>
        </w:rPr>
        <w:t>E. 5.4</w:t>
      </w:r>
    </w:p>
    <w:p>
      <w:r>
        <w:t>Tritt hinzu, dass die Beschwerdeführenden schliesslich in Ausschaffungshaft genommen werden mussten, womit ein eigenständiger Fernhaltegrund verwirklicht wurde.</w:t>
      </w:r>
    </w:p>
    <w:p>
      <w:r>
        <w:rPr>
          <w:b/>
        </w:rPr>
        <w:t>E. 5.5</w:t>
      </w:r>
    </w:p>
    <w:p>
      <w:r>
        <w:t>Nach dem bisher Gesagten haben die Beschwerdeführenden mit ihrem Verhalten Fernhaltegründe im Sinne von Art. 67 Abs.2 Bst. a und c AuG gesetzt.</w:t>
      </w:r>
    </w:p>
    <w:p>
      <w:r>
        <w:rPr>
          <w:b/>
        </w:rPr>
        <w:t>E. 6.1</w:t>
      </w:r>
    </w:p>
    <w:p>
      <w:r>
        <w:t>Es bleibt zu prüfen, ob die gegen die Beschwerdeführenden angeordnete Massnahme in richtiger Ausübung des Ermessens ergangen und angemessen ist. Der Grundsatz der Verhältnismässigkeit steht dabei im Vordergrund. Unter diesem Gesichtspunkt ist eine wertende Abwägung vorzunehmen zwischen dem öffentlichen Interesse an den Massnahmen einerseits und den von den Massnahmen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 St. Gallen 2010, Rz. 613 ff.).</w:t>
      </w:r>
    </w:p>
    <w:p>
      <w:r>
        <w:rPr>
          <w:b/>
        </w:rPr>
        <w:t>E. 6.2</w:t>
      </w:r>
    </w:p>
    <w:p>
      <w:r>
        <w:t>Das Fehlverhalten der Beschwerdeführenden wiegt objektiv nicht leicht. Mit der Missachtung der gesetzlichen Pflicht zur Ausreise und dem anschliessenden illegalen Aufenthalt in der Schweiz haben sie Normen verletzt, die für das Funktionieren der ausländerrechtlichen Ordnung von zentraler Bedeutung sind. Das Fehlverhalten der Beschwerdeführenden ist aber auch in subjektiver Hinsicht bedeutend. Sie haben sich der Ausreisepflicht und den damit verbundenen behördlichen Anordnungen über längere Zeit und mit grosser Beharrlichkeit widersetzt. Dies, nachdem sie schon zum zweiten Mal erfolglos ein Asylverfahren durchlaufen hatten. Aufgrund ihres renitenten Verhaltens mussten sie schliesslich in Aus­schaffungshaft genommen und in ihre Heimat ausgeschafft werden. Entsprechend hoch ist das öffentliche Interesse an einer befristeten Fernhaltung zu gewichten.</w:t>
      </w:r>
    </w:p>
    <w:p>
      <w:r>
        <w:rPr>
          <w:b/>
        </w:rPr>
        <w:t>E. 6.3</w:t>
      </w:r>
    </w:p>
    <w:p>
      <w:r>
        <w:t>Spezifische persönliche Interessen daran, auch in naher Zukunft ohne besondere (über die Visumspflicht) hinausgehende Restriktionen in die Schweiz einreisen zu können, machen die Beschwerdeführenden keine geltend.</w:t>
      </w:r>
    </w:p>
    <w:p>
      <w:r>
        <w:rPr>
          <w:b/>
        </w:rPr>
        <w:t>E. 6.4</w:t>
      </w:r>
    </w:p>
    <w:p>
      <w:r>
        <w:t>Das Bundesverwaltungsgericht kommt daher zum Schluss, dass das gegen die Beschwerdeführenden verhängte, auf drei Jahre befristete Einreiseverbot eine verhältnismässige und angemessene Massnahme zum Schutze der öffentlichen Sicherheit und Ordnung darstellt.</w:t>
      </w:r>
    </w:p>
    <w:p>
      <w:r>
        <w:rPr>
          <w:b/>
        </w:rPr>
        <w:t>E. 7</w:t>
      </w:r>
    </w:p>
    <w:p>
      <w:r>
        <w:t>Aus vorstehenden Erwägungen ergibt sich, dass die angefochtenen Verfügungen Bundesrecht nicht verletzen und den rechtserheblichen Sachverhalt richtig und vollständig feststellen; sie sind auch angemessen (Art. 49 VwVG). Die Beschwerden sind daher abzuweisen.</w:t>
      </w:r>
    </w:p>
    <w:p>
      <w:r>
        <w:rPr>
          <w:b/>
        </w:rPr>
        <w:t>E. 8</w:t>
      </w:r>
    </w:p>
    <w:p>
      <w:r>
        <w:t>Entsprechend dem Ausgang des Verfahrens sind den Beschwerdeführenden die Kosten aufzuerlegen (Art. 63 Abs. 1 VwVG i.V.m. Art. 1, Art. 2 und Art. 3 Bst. b des Reglements vom 21. Februar 2008 über die Kosten und Entschädigungen vor dem Bundesverwaltungsgericht).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