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C-8782/2010 vom 25. November 2011</w:t>
      </w:r>
    </w:p>
    <w:p>
      <w:r>
        <w:t>Bundesverwaltungsgericht, 2011-11-25, IT</w:t>
      </w:r>
    </w:p>
    <w:p>
      <w:r>
        <w:rPr>
          <w:b/>
        </w:rPr>
        <w:t xml:space="preserve">Quelle: </w:t>
      </w:r>
      <w:r>
        <w:t>https://mcp.opencaselaw.ch/entscheid/bvger_C-8782_2010</w:t>
      </w:r>
    </w:p>
    <w:p>
      <w:r>
        <w:t>FR: TAF C-8782/2010 du 25 novembre 2011</w:t>
      </w:r>
    </w:p>
    <w:p>
      <w:r>
        <w:t>IT: TAF C-8782/2010 del 25 novembre 2011</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al TAF conformemente all'art. 69 cpv. 1 lett. b della legge federale del 19 giugno 1959 sull'assicurazione per l'invalidità (LAI, RS 831.20).</w:t>
      </w:r>
    </w:p>
    <w:p>
      <w:r>
        <w:rPr>
          <w:b/>
        </w:rPr>
        <w:t>E. 1.2</w:t>
      </w:r>
    </w:p>
    <w:p>
      <w:r>
        <w:t>Va precisato che nella specie l'Ufficio AI cantonale è competente per trattare l'esame della richiesta di prestazioni, mentre l'autorità inferiore è competente per notificare l'impugnata decisione (art. 40 cpv. 2 dell'ordinanza del 17 gennaio 1961 sull'assicurazione per l'invalidità [OAI, RS 831.201]).</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nella misura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Il periodo di cognizione giudiziaria dello scrivente Tribunale amministrativo federale si estende fino al 22 novembre 2010, data dell'impugnata decisione. Il giudice delle assicurazioni sociali analizza, infatti, la legalità della decisione impugnata, in generale, secondo lo stato di fatto esistente al momento in cui la decisione in lite è stata resa (DTF 136 V 24 consid. 4.3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A._______ ha lavorato nel nostro Paese nel 1970 e poi a partire da marzo 1974 continuativamente. Era alle dipendenze, come frontaliere, di una ditta metallurgica di Stabio come stampatore di bulloni. Per motivi di salute, sostanzialmente di natura ortopedica, è rimasto assente dal lavoro dal 5 giugno 2007 al 15 marzo 2008. Ha poi ripreso il lavoro il 17 marzo 2008 in un altro settore (più leggero), ossia quale capoturno addetto alla formazione dei nuovi assunti senza diminuzione di salario (cfr. doc. 82-8). Poi, a causa della patologia oncologica, ha smesso di lavorare il 14 aprile 2009 (doc. 54-4). Da quanto precede, ne consegue che almeno fino a quest'ultima data l'interessato non ha mai subito un'invalidità ai sensi di legge, l'assenza dal lavoro del 2007/2008 non avendo raggiunto il livello di un anno almeno. Occorre quindi esaminare se esiste un'invalidità ai sensi di legge dopo il 14 aprile 2009, ossia da quando ha definitivamente cessato il lavoro.</w:t>
      </w:r>
    </w:p>
    <w:p>
      <w:r>
        <w:rPr>
          <w:b/>
        </w:rPr>
        <w:t>E. 7.2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7.3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Nella fattispecie, l'interessato soffre di sindrome lombospondilogena cronica con stato dopo intervento chirurgico di ernia discale L5-S1 il 13 dicembre 2007, alterazioni della statica dorso lombare, reazione da disadattamento; esiti di resezione di tumore neoendocrino epatico ben differenziato di 2 cm il 4 maggio 2009, pregressa epatite B HBs negativa, anti HBs positiva non attive (perizia del SAM dell'11 maggio 2010 in esito a visite del 27 gennaio, 23, 25 marzo e 9 aprile 2010). La situazione diagnostica ha comunque subito un'evoluzione. Per il persistere di disturbi addominali (cfr. segnatamente la perizia del Dott. Calcagnile, pag. 4-5), il 16 febbraio 2010 il paziente veniva sottoposto ad una relaparatomia esplorativa che non evidenziava alcuna recidiva tumorale. Tuttavia, una nuova scintigrafia total body del 4 novembre 2010 ha rilevato un tessuto patologico nella regione cefalo-pancreatica (doc. 102-11). Il rapporto del Dott. Sanna, oncologo, del 19 gennaio 2011, non fa stato di una ripresa della patologia tumorale epatico/pancreatica e non pone in evidenza ulteriori affezioni correlate, mentre un referto clinico-ospedaliero del 9 giugno 2011 riferisce la presenza di un tumore neuroendocrino G1 del pancreas. Dal punto di vista ortopedico la situazione ha pure subito un'evoluzione: un RMN del 7 ottobre 2010 pone in evidenza fenomeni degenerativi a livello cervicale da C4 a C7 (cfr. perizia del Dott. Calcagnile pag. 5 e soprattutto rapporto radiologico della Dott.ssa Facchinetti del 14 ottobre 2010, doc. 96-3), nonché un peggioramento della situazione a livello lombare. Dal punto di vista psichiatrico il nominato, secondo la Dott.ssa castra, soffre di una reazione da disadattamento (ICD 10, F 43-22) a partenza dalla diagnosi tumorale dell'ottobre 2008 cui reagisce con destabilizzazione emotiva.</w:t>
      </w:r>
    </w:p>
    <w:p>
      <w:r>
        <w:rPr>
          <w:b/>
        </w:rPr>
        <w:t>E. 9.1</w:t>
      </w:r>
    </w:p>
    <w:p>
      <w:r>
        <w:t>Per quanto concerne le conseguenze invalidanti delle menzionate affezioni, il SAM di Bellinzona, a conclusione della perizia rassegnata l'11 maggio 2010, ritiene che il paziente sarebbe ancora in grado di svolgere il precedente lavoro di operaio addetto allo stampaggio dei bulloni in misura del 75%. Vi è un'incapacità del 20% generale (qualsiasi attività) di origine psichiatrica (non cumulabile con la precedente). In attività di sostituzione non vi sono limitazioni di origine ortopedica e/o oncologica (capacità 100%), ma permane l'incapacità del 20% di natura psichiatrica. Il medico dell'INPS nella perizia medica particolareggiata del 16 ottobre 2009 aveva posto un tasso d'invalidità del 75% pur rilevando che il paziente era in grado di svolgere lavori leggeri ed adeguati alle sue condizioni (doc. 67 cifre 9 e 11) per 4-5 ore giornaliere. Il Dott. Calcagnile, autore della perizia esibita in sede di audizione (e poi di ricorso) considera il proprio paziente totalmente invalido a qualsiasi lavoro. Il Dott. Sanna, oncologo, autore della relazione 19 gennaio 2011, ritiene che i sintomi della malattia oncologica, attiva e sintomatica, condiziona dal punto di vista psicofisico qualsiasi attività prolungata professionale e non.</w:t>
      </w:r>
    </w:p>
    <w:p>
      <w:r>
        <w:rPr>
          <w:b/>
        </w:rPr>
        <w:t>E. 9.2</w:t>
      </w:r>
    </w:p>
    <w:p>
      <w:r>
        <w:t>Di regola una perizia richiesta dall'UAI cantonale (in casu un servizio di accertamento medico specifico dell'assicurazione per l'invalidità, SAM)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9.3.1</w:t>
      </w:r>
    </w:p>
    <w:p>
      <w:r>
        <w:t>Dal punto di vista reumatologico il Dott. Badaracco (del SAM) considera il paziente del tutto abile al lavoro iniziato alla ripresa dell'attività nella primavera del 2008, dopo la lunga assenza per l'intervento di ernia discale. Si tratta di un lavoro di insegnante per i nuovi assunti nella ditta metallurgica. Il reumatologo aggiunge che nel precedente lavoro di stampatore di bulloni il paziente può ancora lavorare a tempo pieno ma con un rendimento ridotto del 25%, rispettando le regole dell'ergonomia della schiena, evitando di sollevare e trasportare pesi superiori a 15 kg e comunque in modo non eccessivamente ripetitivo nel corso della giornata; sono inoltre da evitare i movimenti eccessivamente ripetitivi di flessione/estensione o rotazione del tronco. Il Dott. Badaracco ha descritto in dettaglio quali lavori il paziente può ancora fare e quali invece deve evitare nella tabella in calce alla sua relazione del 24 marzo 2010 (doc. 82-21 e seg.). Ora, se si confronta tale tabella con le mansioni del lavoratore indicate alla cifra 3 del questionario del datore di lavoro (doc. 54), si evince che il dipendente (prima della ripresa del lavoro del 17 marzo 2008) non assumeva incarichi estremamente pesanti. Va comunque rilevato che, in ogni caso, l'interessato ha dimostrato con comportamento concludente, al rientro al lavoro dopo la lunga assenza del 2007/2008, ossia dal marzo 2008, di saper svolgere un altro lavoro, più adeguato, al cento per cento senza diminuzione di salario rispetto al precedente. Pertanto, dal punto di vista ortopedico, si può ammettere l'esistenza di un'invalidità del 25% (lavoro a tempo completo, rendimento ridotto) nel precedente lavoro di stampatore e del 100% in attività di sostituzione come quella dimostrata da marzo 2008. Pertanto, il problema dell'invalidità si trasferisce alle altre due importanti patologie, ossia quella oncologica e quella psichiatrica.</w:t>
      </w:r>
    </w:p>
    <w:p>
      <w:r>
        <w:rPr>
          <w:b/>
        </w:rPr>
        <w:t>E. 9.3.2</w:t>
      </w:r>
    </w:p>
    <w:p>
      <w:r>
        <w:t>Ora, nel marzo 2010, ossia a quasi un anno dall'intervento di resezione del tumore neuroendocrino al fegato (4 maggio 2009), il Dott. Cattaneo, endocrinologo del SAM, ha considerato il paziente guarito dalla patologia oncologica, senza un quadro clinico sospetto per sindrome carcinoide oppure complicanze post-chirurgiche. L'esperto non ritiene quindi una rilevante limitazione della capacità lavorativa quale operaio e manovale. Tuttavia, il Dott. Cattaneo considera il paziente, al momento della visita, inabile al lavoro al 100% per dolori addominali ed astenia ma stima tale inabilità come temporanea, di tipo post-chirurgico, il paziente essendo stato sottoposto nel febbraio 2010 ad una relaparatomia di tipo esplorativo la quale è stata negativa per l'esistenza di processo tumorale in loco (passaggio testa-processo uncinato del pancreas). Il controllo scintigrafico del 10 novembre 2010 (total body) ha confermato la presenza di un tessuto patologico nella regione cefalo-pancreatica (verso il processo uncinato) con reperto un poco più evidente rispetto ad analoga indagine del 2009 (doc. 102). Poi, il referto del 9 giugno 2011 prodotto in sede di replica (doc. TAF 10) attesta un tumore neuroendocrino G1 del pancreas. Vero è che sul problema oncologico si sono pronunciati i Dott.ri Calcagnile (cfr. considerazioni conclusive, primo paragrafo) e Sanna (cfr. suo referto pag. 3/4). I loro pareri, comunque, sebbene attestino che la patologia tumorale è sintomatologicamente in fase attiva, sono meno rilevanti di quelli del Dott. Cattaneo poiché non sembra che la patologia in atto sia, tutto sommato, invalidante. Del resto le perizie del Dott. Calcagnile e Sanna sono state sottoposte ai medici del SAM che, nel loro rapporto del 4 marzo 2011 hanno avuto modo di confermare le loro precedenti valutazioni dell'11 maggio e 30 novembre 2010.</w:t>
      </w:r>
    </w:p>
    <w:p>
      <w:r>
        <w:rPr>
          <w:b/>
        </w:rPr>
        <w:t>E. 9.3.3</w:t>
      </w:r>
    </w:p>
    <w:p>
      <w:r>
        <w:t>Sotto il profilo infettivologo (Dott. Mombelli del SAM), l'epatite B, diagnosticata nel 2007, è priva di conseguenze debilitanti. Attualmente non sussiste alcuna epatite attiva e non vi è danno epatico di tipo infettivo (a parte gli esiti della resezione del maggio 2009 e della relaparatomia del febbraio 2010). Questa epatite silente non provoca disturbi, ha una prognosi eccellente e non è in relazione con il tumore neuroendocrino del fegato resecato nel maggio 2009. Questa patologia non ha nessun influsso sulla capacità lavorativa.</w:t>
      </w:r>
    </w:p>
    <w:p>
      <w:r>
        <w:rPr>
          <w:b/>
        </w:rPr>
        <w:t>E. 9.3.4</w:t>
      </w:r>
    </w:p>
    <w:p>
      <w:r>
        <w:t>Riassumendo, quindi, non sembra a questo collegio giudicante che si debba mettere in dubbio la valutazione del SAM per quel che attiene al giudizio conclusivo in materia di ortopedia, oncologia ed infettivologia. Certo, la patologia tumorale deve essere considerata grave. Tuttavia, il concetto d'invalidità è di carattere economico e non medico (cfr. consid. 7.2). Non è tanto la malattia in quanto tale che è oggetto di indennizzo da parte della LAI, ma piuttosto le conseguenze di questa sulla capacità di lavoro e di guadagno del richiedente di prestazioni.</w:t>
      </w:r>
    </w:p>
    <w:p>
      <w:r>
        <w:rPr>
          <w:b/>
        </w:rPr>
        <w:t>E. 9.4.1</w:t>
      </w:r>
    </w:p>
    <w:p>
      <w:r>
        <w:t>Infine, sotto il profilo psichiatrico la Dott.ssa Castra del SAM considera che la diagnosi di tumore epatico abbia destabilizzato il paziente che ha sviluppato una reazione da disadattamento a partire dall'ottobre 2008 (diagnosi del tumore epatico) con la comparsa di ansia, depressione, apatia, astenia (dovuta questa anche alla patologia somatica). La specialista ritiene che questa fenomenologia comporti una diminuzione della capacità di lavoro del 20% intesa come scarso rendimento in un tempo di lavoro normale (cfr. il referto d'esame del Dott. Badaracco). Si nota comunque che A._______ ha lavorato a tempo pieno fino al 13 aprile 2009.</w:t>
      </w:r>
    </w:p>
    <w:p>
      <w:r>
        <w:rPr>
          <w:b/>
        </w:rPr>
        <w:t>E. 9.4.2</w:t>
      </w:r>
    </w:p>
    <w:p>
      <w:r>
        <w:t>Per quanto emerge dall'indagine presso il SAM, la problematica psichiatrica è quella che dà origine al tasso d'invalidità del 20% ammesso. Si tratta quindi della patologia più rilevante ai fini della valutazione finale. A mente di questo Tribunale, l'indagine in questo senso non è stata compiuta in modo corretto. Infatti, il Dott. Calcagnile (doc. 102-3) aveva segnalato, sotto il profilo psichiatrico, un disturbo generalizzato d'ansia con reazione da disadattamento. Egli precisava che il paziente ha sviluppato una vera e propria "burn-out syndrome" caratterizzata da un complesso di sintomi psichici (e somatici) derivati soprattutto da insoddisfazione per la propria sfera lavorativa, da disturbi dell'emotività e somatizzazioni varie. La presenza di sintomi disemotivi, continua il Dott. Calcagnile, che inducono apatia, difficoltà di concentrazione, demotivazione e perdita di empatia non sono compatibili con il proposto cambio della mansione lavorativa in qualità di istruttore dei nuovi assunti, nella misura in cui tale nuova mansione comportava un carico di responsabilità non indifferente ed un sovraccarico di attenzione e concentrazione per istruire gli allievi in un lavoro non facile ed insidioso. Il Dott. Calcagnile spiega in modo convincente che la presenza di sintomi adenodistonici ascrivibile sia alla neoplasia che ai sintomi da somatizzazione inducono spiacevoli sensazioni che rendono ancora più penose le sensazioni dolorifiche indotte da latri fattori. Per l'esperto di parte, l'attuale terapia volta alla gestione del disturbo d'ansia non ha alcun effetto. Pertanto, a differenza di quanto sostenuto dalla Dott.ssa Castra, il problema psichico di A._______ non era solo dato ed originato (temporalmente) dalla diagnosi di tumore epatopancreatico dell'ottobre 2008 e dalla circostanza, segnatamente, che una cugina dello stesso sia deceduta per tumore, ma anche da altri influssi forse ancora più importanti. L'analisi della Dott.ssa Castra sembra piuttosto incentrata sull'aspetto di relazione/causa fra la diagnosi di tumore e la patologia psichica in atto.</w:t>
      </w:r>
    </w:p>
    <w:p>
      <w:r>
        <w:rPr>
          <w:b/>
        </w:rPr>
        <w:t>E. 9.4.3</w:t>
      </w:r>
    </w:p>
    <w:p>
      <w:r>
        <w:t>Ora, il Dott. Cermesoni dell'UAI-TI ha sottoposto la perizia del Dott. Calcagnile al SAM di Bellinzona, senza specificare che sotto il profilo psichiatrico, alla luce delle osservazioni dell'esperto di parte, occorreva di nuovo interpellare la Dott.ssa Castra. Il SAM ha risposto il 30 novembre 2010 tramite due medici (la direttrice Dott.ssa El Shater, specialista in medicina interna ed il Dott. Pianezzi, specialista in medicina interna) che non si sono occupati del caso in esame sotto un profilo specialistico (doc. 110). Tale modo di procedere non è tutelabile (cfr. sulla specializzazione dei medici chiamati a dare una valutazione in ambito AI: SVR 2009 IV n. 56 consid. 4.3.1).Va inoltre osservato che i vari pareri espressi dal Dott. Erba in merito alla patologia psichiatrica non sono sufficientemente motivati.</w:t>
      </w:r>
    </w:p>
    <w:p>
      <w:r>
        <w:rPr>
          <w:b/>
        </w:rPr>
        <w:t>E. 10.1</w:t>
      </w:r>
    </w:p>
    <w:p>
      <w:r>
        <w:t>Ora, fatte queste considerazioni, il collegio giudicante si trova nell'impossibilità di determinare la misura dell'eventuale incapacità di lavoro subito dall'interessato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 l'istruttoria incompleta e l'ampiezza delle informazioni da raccogliere (DTF 137 V 210 consid. 4.4.1.4).</w:t>
      </w:r>
    </w:p>
    <w:p>
      <w:r>
        <w:rPr>
          <w:b/>
        </w:rPr>
        <w:t>E. 10.2</w:t>
      </w:r>
    </w:p>
    <w:p>
      <w:r>
        <w:t>L'UAIE dovrà quindi completare l'istruttoria delucidando la situazione medica per il periodo dall'aprile 2009 (cessazione definitiva dell'attività) fino alla data dell'impugnata decisione (22 novembre 2010) e da questa data in poi. L'UAIE emanerà poi un nuovo provvedimento impugnabile. A tale fine l'amministrazione dovrà in particolare interpellare di nuovo la Dott.ssa Castra e sottoporle il caso con le osservazioni del Dott. Calcagnile. Se del caso, l'amministrazione effettuerà poi un'indagine comparativa dei redditi.</w:t>
      </w:r>
    </w:p>
    <w:p>
      <w:r>
        <w:rPr>
          <w:b/>
        </w:rPr>
        <w:t>E. 11.1</w:t>
      </w:r>
    </w:p>
    <w:p>
      <w:r>
        <w:t>Visto l'esito del ricorso, non vengono prelevate spese processuali e l'anticipo spese versato dal ricorrente, di Fr. 400.-,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vista la memoria di ricorso, di replica e la documentazione esibita, si giustifica riconoscere alla parte ricorrente un'indennità per spese ripetibili di Fr. 900.-,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