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C-86/2023 vom 18. November 2022</w:t>
      </w:r>
    </w:p>
    <w:p>
      <w:r>
        <w:t>Bundesverwaltungsgericht, 2022-11-18, DE</w:t>
      </w:r>
    </w:p>
    <w:p>
      <w:r>
        <w:rPr>
          <w:b/>
        </w:rPr>
        <w:t xml:space="preserve">Quelle: </w:t>
      </w:r>
      <w:r>
        <w:t>https://mcp.opencaselaw.ch/entscheid/bvger_C-86_2023_d20221118</w:t>
      </w:r>
    </w:p>
    <w:p>
      <w:r>
        <w:t>FR: TAF C-86/2023 du 18 novembre 2022</w:t>
      </w:r>
    </w:p>
    <w:p>
      <w:r>
        <w:t>IT: TAF C-86/2023 del 18 novembre 2022</w:t>
      </w:r>
    </w:p>
    <w:p>
      <w:pPr>
        <w:pStyle w:val="Heading2"/>
      </w:pPr>
      <w:r>
        <w:t>Regeste</w:t>
      </w:r>
    </w:p>
    <w:p>
      <w:r>
        <w:t>Rentenrevision | Invalidenversicherung, Rentenrevision, Verfügung der IVSTA vom 18. November 2022. Entscheid teilweise bestätigt durch BGer.</w:t>
      </w:r>
    </w:p>
    <w:p>
      <w:pPr>
        <w:pStyle w:val="Heading2"/>
      </w:pPr>
      <w:r>
        <w:t>Erwägungen</w:t>
      </w:r>
    </w:p>
    <w:p>
      <w:r>
        <w:rPr>
          <w:b/>
        </w:rPr>
        <w:t>E. 1</w:t>
      </w:r>
    </w:p>
    <w:p>
      <w:r>
        <w:t>Das Beschwerdeverfahren wird als gegenstandslos geworden abgeschrieben, soweit darauf eingetreten wird.</w:t>
      </w:r>
    </w:p>
    <w:p>
      <w:r>
        <w:rPr>
          <w:b/>
        </w:rPr>
        <w:t>E. 2</w:t>
      </w:r>
    </w:p>
    <w:p>
      <w:r>
        <w:t>Das Gesuch der Beschwerdeführerin um Ausrichtung der Kinderrente für die Tochter C._______ rückwirkend ab August 2022 wird zuständigkeitshalber an die Vorinstanz zur weiteren Bearbeitung überwiesen.</w:t>
      </w:r>
    </w:p>
    <w:p>
      <w:r>
        <w:rPr>
          <w:b/>
        </w:rPr>
        <w:t>E. 3</w:t>
      </w:r>
    </w:p>
    <w:p>
      <w:r>
        <w:t>Es werden keine Verfahrenskosten erhoben.</w:t>
      </w:r>
    </w:p>
    <w:p>
      <w:r>
        <w:rPr>
          <w:b/>
        </w:rPr>
        <w:t>E. 4</w:t>
      </w:r>
    </w:p>
    <w:p>
      <w:r>
        <w:t>Die Vorinstanz wird verpflichtet, der Beschwerdeführerin eine Parteientschädigung von Fr. 1'000.- zu bezahlen.</w:t>
      </w:r>
    </w:p>
    <w:p>
      <w:r>
        <w:rPr>
          <w:b/>
        </w:rPr>
        <w:t>E. 5</w:t>
      </w:r>
    </w:p>
    <w:p>
      <w:r>
        <w:t>Dieser Entscheid geht an die Beschwerdeführerin, die Vorinstanz und das BSV. Für die Rechtsmittelbelehrung wird auf die nächste Seite verwiesen. Der Einzelrichter: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